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9E54" w14:textId="77777777" w:rsidR="00367E5C" w:rsidRPr="00FE2AAD" w:rsidRDefault="00367E5C" w:rsidP="00367E5C">
      <w:pPr>
        <w:pStyle w:val="NoSpacing"/>
        <w:jc w:val="center"/>
        <w:rPr>
          <w:rFonts w:ascii="Graphik Regular" w:hAnsi="Graphik Regular"/>
          <w:b/>
        </w:rPr>
      </w:pPr>
      <w:r w:rsidRPr="00FE2AAD">
        <w:rPr>
          <w:rFonts w:ascii="Graphik Regular" w:hAnsi="Graphik Regular"/>
          <w:b/>
          <w:noProof/>
          <w:lang w:eastAsia="en-GB"/>
        </w:rPr>
        <w:drawing>
          <wp:inline distT="0" distB="0" distL="0" distR="0" wp14:anchorId="7FA8FFC9" wp14:editId="1169B231">
            <wp:extent cx="2219325" cy="86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PA_Logo_PO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478" cy="86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4D262" w14:textId="52DB5E88" w:rsidR="00367E5C" w:rsidRDefault="00367E5C" w:rsidP="00367E5C">
      <w:pPr>
        <w:pStyle w:val="NoSpacing"/>
        <w:jc w:val="center"/>
        <w:rPr>
          <w:rFonts w:ascii="Graphik Regular" w:hAnsi="Graphik Regular"/>
          <w:b/>
        </w:rPr>
      </w:pPr>
    </w:p>
    <w:p w14:paraId="44C666CA" w14:textId="0A6235FE" w:rsidR="009D56BD" w:rsidRDefault="009D56BD" w:rsidP="00367E5C">
      <w:pPr>
        <w:pStyle w:val="NoSpacing"/>
        <w:jc w:val="center"/>
        <w:rPr>
          <w:rFonts w:ascii="Graphik Regular" w:hAnsi="Graphik Regular"/>
          <w:b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180"/>
      </w:tblGrid>
      <w:tr w:rsidR="009D56BD" w14:paraId="361B8691" w14:textId="77777777" w:rsidTr="709A4A40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DD14E" w14:textId="77777777" w:rsidR="009D56BD" w:rsidRPr="00877336" w:rsidRDefault="009D56BD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 w:rsidRPr="00877336">
              <w:rPr>
                <w:rFonts w:ascii="Calibri" w:hAnsi="Calibri" w:cs="Calibri"/>
                <w:caps/>
              </w:rPr>
              <w:t>Policy title</w:t>
            </w:r>
          </w:p>
        </w:tc>
        <w:tc>
          <w:tcPr>
            <w:tcW w:w="6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836736" w14:textId="513850C2" w:rsidR="009D56BD" w:rsidRPr="00877336" w:rsidRDefault="00BB0FAB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DATA RETENTION POLICY</w:t>
            </w:r>
          </w:p>
        </w:tc>
      </w:tr>
      <w:tr w:rsidR="009D56BD" w14:paraId="212EEDBC" w14:textId="77777777" w:rsidTr="709A4A40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63D91" w14:textId="77777777" w:rsidR="009D56BD" w:rsidRPr="00877336" w:rsidRDefault="009D56BD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 w:rsidRPr="00877336">
              <w:rPr>
                <w:rFonts w:ascii="Calibri" w:hAnsi="Calibri" w:cs="Calibri"/>
                <w:caps/>
              </w:rPr>
              <w:t>Author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74DC29" w14:textId="77777777" w:rsidR="009D56BD" w:rsidRPr="00877336" w:rsidRDefault="009D56BD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 w:rsidRPr="00877336">
              <w:rPr>
                <w:rFonts w:ascii="Calibri" w:hAnsi="Calibri" w:cs="Calibri"/>
                <w:caps/>
              </w:rPr>
              <w:t>CEO</w:t>
            </w:r>
          </w:p>
        </w:tc>
      </w:tr>
      <w:tr w:rsidR="009D56BD" w14:paraId="705B3961" w14:textId="77777777" w:rsidTr="709A4A40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2FACC" w14:textId="77777777" w:rsidR="009D56BD" w:rsidRPr="00877336" w:rsidRDefault="009D56BD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 w:rsidRPr="00877336">
              <w:rPr>
                <w:rFonts w:ascii="Calibri" w:hAnsi="Calibri" w:cs="Calibri"/>
                <w:caps/>
              </w:rPr>
              <w:t>Approval date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3C321D" w14:textId="69598473" w:rsidR="009D56BD" w:rsidRPr="00877336" w:rsidRDefault="008C3E41" w:rsidP="709A4A40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>
              <w:rPr>
                <w:rFonts w:ascii="Calibri" w:hAnsi="Calibri" w:cs="Calibri"/>
                <w:caps/>
              </w:rPr>
              <w:t>18 August 2025</w:t>
            </w:r>
          </w:p>
        </w:tc>
      </w:tr>
      <w:tr w:rsidR="009D56BD" w14:paraId="070D9ABC" w14:textId="77777777" w:rsidTr="709A4A40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53CF0" w14:textId="77777777" w:rsidR="009D56BD" w:rsidRPr="00877336" w:rsidRDefault="009D56BD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 w:rsidRPr="00877336">
              <w:rPr>
                <w:rFonts w:ascii="Calibri" w:hAnsi="Calibri" w:cs="Calibri"/>
                <w:caps/>
              </w:rPr>
              <w:t>review date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EFC963" w14:textId="387C2696" w:rsidR="009D56BD" w:rsidRPr="00877336" w:rsidRDefault="009D56BD" w:rsidP="00075AC5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rFonts w:ascii="Calibri" w:hAnsi="Calibri" w:cs="Calibri"/>
                <w:caps/>
              </w:rPr>
            </w:pPr>
            <w:r w:rsidRPr="00877336">
              <w:rPr>
                <w:rFonts w:ascii="Calibri" w:hAnsi="Calibri" w:cs="Calibri"/>
                <w:caps/>
              </w:rPr>
              <w:t>202</w:t>
            </w:r>
            <w:r w:rsidR="008C3E41">
              <w:rPr>
                <w:rFonts w:ascii="Calibri" w:hAnsi="Calibri" w:cs="Calibri"/>
                <w:caps/>
              </w:rPr>
              <w:t>8</w:t>
            </w:r>
          </w:p>
        </w:tc>
      </w:tr>
    </w:tbl>
    <w:p w14:paraId="74BE063F" w14:textId="77777777" w:rsidR="009D56BD" w:rsidRPr="00FE2AAD" w:rsidRDefault="009D56BD" w:rsidP="00367E5C">
      <w:pPr>
        <w:pStyle w:val="NoSpacing"/>
        <w:jc w:val="center"/>
        <w:rPr>
          <w:rFonts w:ascii="Graphik Regular" w:hAnsi="Graphik Regular"/>
          <w:b/>
        </w:rPr>
      </w:pPr>
    </w:p>
    <w:p w14:paraId="53AB9EAE" w14:textId="2AD7CD80" w:rsidR="0031447B" w:rsidRPr="00075AC5" w:rsidRDefault="0031447B" w:rsidP="00A055D8">
      <w:pPr>
        <w:pStyle w:val="NoSpacing"/>
        <w:jc w:val="both"/>
        <w:rPr>
          <w:rFonts w:ascii="Graphik Regular" w:hAnsi="Graphik Regular" w:cs="Arial"/>
          <w:b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hAnsi="Graphik Regular" w:cs="Arial"/>
          <w:b/>
          <w:color w:val="F25F4D" w:themeColor="accent2"/>
          <w:sz w:val="24"/>
          <w:szCs w:val="24"/>
          <w:lang w:eastAsia="en-GB"/>
        </w:rPr>
        <w:t>P</w:t>
      </w:r>
      <w:r w:rsidR="007E598D" w:rsidRPr="00075AC5">
        <w:rPr>
          <w:rFonts w:ascii="Graphik Regular" w:hAnsi="Graphik Regular" w:cs="Arial"/>
          <w:b/>
          <w:color w:val="F25F4D" w:themeColor="accent2"/>
          <w:sz w:val="24"/>
          <w:szCs w:val="24"/>
          <w:lang w:eastAsia="en-GB"/>
        </w:rPr>
        <w:t>urpose, scope and users</w:t>
      </w:r>
    </w:p>
    <w:p w14:paraId="53F11EF2" w14:textId="50C04F92" w:rsidR="006139DE" w:rsidRPr="00075AC5" w:rsidRDefault="00BB0FAB" w:rsidP="00F55B7E">
      <w:pPr>
        <w:spacing w:after="0" w:line="240" w:lineRule="auto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Th</w:t>
      </w:r>
      <w:r w:rsidR="00E5170E" w:rsidRPr="00075AC5">
        <w:rPr>
          <w:rFonts w:ascii="Graphik Regular" w:eastAsia="Times New Roman" w:hAnsi="Graphik Regular" w:cs="Arial"/>
          <w:lang w:eastAsia="en-GB"/>
        </w:rPr>
        <w:t>is policy sets the required retention periods for specified categories of personal data and set out the minimum standards to be applied when destroying certain information</w:t>
      </w:r>
      <w:r w:rsidR="00CE01FE" w:rsidRPr="00075AC5">
        <w:rPr>
          <w:rFonts w:ascii="Graphik Regular" w:eastAsia="Times New Roman" w:hAnsi="Graphik Regular" w:cs="Arial"/>
          <w:lang w:eastAsia="en-GB"/>
        </w:rPr>
        <w:t xml:space="preserve"> within PSPA.</w:t>
      </w:r>
    </w:p>
    <w:p w14:paraId="7CB986E7" w14:textId="74793736" w:rsidR="00CE01FE" w:rsidRPr="00075AC5" w:rsidRDefault="00CE01FE" w:rsidP="00F55B7E">
      <w:pPr>
        <w:spacing w:after="0" w:line="240" w:lineRule="auto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36CE6D0A" w14:textId="77777777" w:rsidR="00D47BF8" w:rsidRPr="00D47BF8" w:rsidRDefault="00CE01FE" w:rsidP="00D47BF8">
      <w:pPr>
        <w:spacing w:after="0" w:line="240" w:lineRule="auto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This policy applies to all parts of the organisation:  Trustee, employees, volunteers, contractors</w:t>
      </w:r>
      <w:r w:rsidR="000E4416" w:rsidRPr="00075AC5">
        <w:rPr>
          <w:rFonts w:ascii="Graphik Regular" w:eastAsia="Times New Roman" w:hAnsi="Graphik Regular" w:cs="Arial"/>
          <w:lang w:eastAsia="en-GB"/>
        </w:rPr>
        <w:t>,</w:t>
      </w:r>
      <w:r w:rsidR="00651EEE" w:rsidRPr="00075AC5">
        <w:rPr>
          <w:rFonts w:ascii="Graphik Regular" w:eastAsia="Times New Roman" w:hAnsi="Graphik Regular" w:cs="Arial"/>
          <w:lang w:eastAsia="en-GB"/>
        </w:rPr>
        <w:t xml:space="preserve"> or advisors that may collect, processes, or have access to data.  It is the responsibility of </w:t>
      </w:r>
      <w:r w:rsidR="000E4416" w:rsidRPr="00075AC5">
        <w:rPr>
          <w:rFonts w:ascii="Graphik Regular" w:eastAsia="Times New Roman" w:hAnsi="Graphik Regular" w:cs="Arial"/>
          <w:lang w:eastAsia="en-GB"/>
        </w:rPr>
        <w:t>all</w:t>
      </w:r>
      <w:r w:rsidR="00651EEE" w:rsidRPr="00075AC5">
        <w:rPr>
          <w:rFonts w:ascii="Graphik Regular" w:eastAsia="Times New Roman" w:hAnsi="Graphik Regular" w:cs="Arial"/>
          <w:lang w:eastAsia="en-GB"/>
        </w:rPr>
        <w:t xml:space="preserve"> the </w:t>
      </w:r>
      <w:r w:rsidR="000E4416" w:rsidRPr="00075AC5">
        <w:rPr>
          <w:rFonts w:ascii="Graphik Regular" w:eastAsia="Times New Roman" w:hAnsi="Graphik Regular" w:cs="Arial"/>
          <w:lang w:eastAsia="en-GB"/>
        </w:rPr>
        <w:t>above to familiarise themselves with this policy and ensure compliance with it.</w:t>
      </w:r>
      <w:r w:rsidR="00D47BF8">
        <w:rPr>
          <w:rFonts w:ascii="Graphik Regular" w:eastAsia="Times New Roman" w:hAnsi="Graphik Regular" w:cs="Arial"/>
          <w:lang w:eastAsia="en-GB"/>
        </w:rPr>
        <w:t xml:space="preserve"> </w:t>
      </w:r>
      <w:r w:rsidR="00D47BF8" w:rsidRPr="00D47BF8">
        <w:rPr>
          <w:rFonts w:ascii="Graphik Regular" w:eastAsia="Times New Roman" w:hAnsi="Graphik Regular" w:cs="Arial"/>
          <w:lang w:eastAsia="en-GB"/>
        </w:rPr>
        <w:t>The CEO will be responsible for an annual process of reviewing</w:t>
      </w:r>
    </w:p>
    <w:p w14:paraId="69481703" w14:textId="2839E2F7" w:rsidR="00CE01FE" w:rsidRPr="00075AC5" w:rsidRDefault="00D47BF8" w:rsidP="00D47BF8">
      <w:pPr>
        <w:spacing w:after="0" w:line="240" w:lineRule="auto"/>
        <w:textAlignment w:val="baseline"/>
        <w:rPr>
          <w:rFonts w:ascii="Graphik Regular" w:eastAsia="Times New Roman" w:hAnsi="Graphik Regular" w:cs="Arial"/>
          <w:lang w:eastAsia="en-GB"/>
        </w:rPr>
      </w:pPr>
      <w:r w:rsidRPr="00D47BF8">
        <w:rPr>
          <w:rFonts w:ascii="Graphik Regular" w:eastAsia="Times New Roman" w:hAnsi="Graphik Regular" w:cs="Arial"/>
          <w:lang w:eastAsia="en-GB"/>
        </w:rPr>
        <w:t>which records need to be confidentially destroyed.</w:t>
      </w:r>
    </w:p>
    <w:p w14:paraId="71620300" w14:textId="581A18C6" w:rsidR="007E598D" w:rsidRPr="00075AC5" w:rsidRDefault="007E598D" w:rsidP="00F55B7E">
      <w:pPr>
        <w:spacing w:after="0" w:line="240" w:lineRule="auto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7C3554D8" w14:textId="755B92F4" w:rsidR="007E598D" w:rsidRPr="00075AC5" w:rsidRDefault="007E598D" w:rsidP="00F55B7E">
      <w:pPr>
        <w:spacing w:after="0" w:line="240" w:lineRule="auto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The policy applies to all the information used at the charity.  Examples </w:t>
      </w:r>
      <w:r w:rsidR="0046556C" w:rsidRPr="00075AC5">
        <w:rPr>
          <w:rFonts w:ascii="Graphik Regular" w:eastAsia="Times New Roman" w:hAnsi="Graphik Regular" w:cs="Arial"/>
          <w:lang w:eastAsia="en-GB"/>
        </w:rPr>
        <w:t>of documents include:</w:t>
      </w:r>
    </w:p>
    <w:p w14:paraId="55219BF7" w14:textId="148F2B48" w:rsidR="0046556C" w:rsidRPr="00075AC5" w:rsidRDefault="0046556C" w:rsidP="009B21A9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Emails</w:t>
      </w:r>
    </w:p>
    <w:p w14:paraId="537C3715" w14:textId="2B2D9882" w:rsidR="0046556C" w:rsidRPr="00075AC5" w:rsidRDefault="0046556C" w:rsidP="009B21A9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Hard copy documents</w:t>
      </w:r>
    </w:p>
    <w:p w14:paraId="0F40874D" w14:textId="6BAE41BD" w:rsidR="0046556C" w:rsidRPr="00075AC5" w:rsidRDefault="0046556C" w:rsidP="009B21A9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Soft copy documents</w:t>
      </w:r>
    </w:p>
    <w:p w14:paraId="171CDEB5" w14:textId="58087379" w:rsidR="0046556C" w:rsidRPr="00075AC5" w:rsidRDefault="0046556C" w:rsidP="009B21A9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Video and audio</w:t>
      </w:r>
    </w:p>
    <w:p w14:paraId="5742BD66" w14:textId="3668E718" w:rsidR="00ED32DC" w:rsidRPr="00075AC5" w:rsidRDefault="00ED32DC" w:rsidP="00ED32DC">
      <w:pPr>
        <w:pStyle w:val="ListParagraph"/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15050091" w14:textId="491D0DB2" w:rsidR="003E622C" w:rsidRPr="00075AC5" w:rsidRDefault="00AA668C" w:rsidP="00ED32DC">
      <w:pPr>
        <w:pStyle w:val="ListParagraph"/>
        <w:spacing w:after="0" w:line="240" w:lineRule="auto"/>
        <w:ind w:left="0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In certain circumstances it will be necessary to retain</w:t>
      </w:r>
      <w:r w:rsidR="00D82406" w:rsidRPr="00075AC5">
        <w:rPr>
          <w:rFonts w:ascii="Graphik Regular" w:eastAsia="Times New Roman" w:hAnsi="Graphik Regular" w:cs="Arial"/>
          <w:lang w:eastAsia="en-GB"/>
        </w:rPr>
        <w:t xml:space="preserve"> specific documents </w:t>
      </w:r>
      <w:r w:rsidR="00D47BF8" w:rsidRPr="00075AC5">
        <w:rPr>
          <w:rFonts w:ascii="Graphik Regular" w:eastAsia="Times New Roman" w:hAnsi="Graphik Regular" w:cs="Arial"/>
          <w:lang w:eastAsia="en-GB"/>
        </w:rPr>
        <w:t>to</w:t>
      </w:r>
      <w:r w:rsidR="00D82406" w:rsidRPr="00075AC5">
        <w:rPr>
          <w:rFonts w:ascii="Graphik Regular" w:eastAsia="Times New Roman" w:hAnsi="Graphik Regular" w:cs="Arial"/>
          <w:lang w:eastAsia="en-GB"/>
        </w:rPr>
        <w:t xml:space="preserve"> fulfil statutory or regulatory requirements and to meet operational needs.  </w:t>
      </w:r>
      <w:r w:rsidR="003E622C" w:rsidRPr="00075AC5">
        <w:rPr>
          <w:rFonts w:ascii="Graphik Regular" w:eastAsia="Times New Roman" w:hAnsi="Graphik Regular" w:cs="Arial"/>
          <w:lang w:eastAsia="en-GB"/>
        </w:rPr>
        <w:t>Prem</w:t>
      </w:r>
      <w:r w:rsidR="004D2296" w:rsidRPr="00075AC5">
        <w:rPr>
          <w:rFonts w:ascii="Graphik Regular" w:eastAsia="Times New Roman" w:hAnsi="Graphik Regular" w:cs="Arial"/>
          <w:lang w:eastAsia="en-GB"/>
        </w:rPr>
        <w:t xml:space="preserve">ature destruction of documents </w:t>
      </w:r>
      <w:r w:rsidR="009954D0" w:rsidRPr="00075AC5">
        <w:rPr>
          <w:rFonts w:ascii="Graphik Regular" w:eastAsia="Times New Roman" w:hAnsi="Graphik Regular" w:cs="Arial"/>
          <w:lang w:eastAsia="en-GB"/>
        </w:rPr>
        <w:t>could result</w:t>
      </w:r>
      <w:r w:rsidR="004D2296" w:rsidRPr="00075AC5">
        <w:rPr>
          <w:rFonts w:ascii="Graphik Regular" w:eastAsia="Times New Roman" w:hAnsi="Graphik Regular" w:cs="Arial"/>
          <w:lang w:eastAsia="en-GB"/>
        </w:rPr>
        <w:t xml:space="preserve"> in an inability to defend litigious claims, operational </w:t>
      </w:r>
      <w:r w:rsidR="00E57E78" w:rsidRPr="00075AC5">
        <w:rPr>
          <w:rFonts w:ascii="Graphik Regular" w:eastAsia="Times New Roman" w:hAnsi="Graphik Regular" w:cs="Arial"/>
          <w:lang w:eastAsia="en-GB"/>
        </w:rPr>
        <w:t>difficulties,</w:t>
      </w:r>
      <w:r w:rsidR="004D2296" w:rsidRPr="00075AC5">
        <w:rPr>
          <w:rFonts w:ascii="Graphik Regular" w:eastAsia="Times New Roman" w:hAnsi="Graphik Regular" w:cs="Arial"/>
          <w:lang w:eastAsia="en-GB"/>
        </w:rPr>
        <w:t xml:space="preserve"> and failure to comply with GDPR.</w:t>
      </w:r>
      <w:r w:rsidR="001F57B6" w:rsidRPr="00075AC5">
        <w:rPr>
          <w:rFonts w:ascii="Graphik Regular" w:eastAsia="Times New Roman" w:hAnsi="Graphik Regular" w:cs="Arial"/>
          <w:lang w:eastAsia="en-GB"/>
        </w:rPr>
        <w:t xml:space="preserve">  Lengthy or indefinite </w:t>
      </w:r>
      <w:r w:rsidR="00EB2144" w:rsidRPr="00075AC5">
        <w:rPr>
          <w:rFonts w:ascii="Graphik Regular" w:eastAsia="Times New Roman" w:hAnsi="Graphik Regular" w:cs="Arial"/>
          <w:lang w:eastAsia="en-GB"/>
        </w:rPr>
        <w:t>retention of personal information could result in PSPA breeching GDPR.</w:t>
      </w:r>
    </w:p>
    <w:p w14:paraId="41B90E0F" w14:textId="77777777" w:rsidR="00743F89" w:rsidRPr="00075AC5" w:rsidRDefault="00743F89" w:rsidP="00ED32DC">
      <w:pPr>
        <w:pStyle w:val="ListParagraph"/>
        <w:spacing w:after="0" w:line="240" w:lineRule="auto"/>
        <w:ind w:left="0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717652EA" w14:textId="29D1C797" w:rsidR="00ED32DC" w:rsidRPr="00075AC5" w:rsidRDefault="00743F89" w:rsidP="685C5BA5">
      <w:pPr>
        <w:pStyle w:val="ListParagraph"/>
        <w:spacing w:after="0" w:line="240" w:lineRule="auto"/>
        <w:ind w:left="0"/>
        <w:textAlignment w:val="baseline"/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Objectives</w:t>
      </w:r>
    </w:p>
    <w:p w14:paraId="7876CCB3" w14:textId="1370F9D3" w:rsidR="00743F89" w:rsidRPr="00075AC5" w:rsidRDefault="00E57E78" w:rsidP="00ED32DC">
      <w:pPr>
        <w:pStyle w:val="ListParagraph"/>
        <w:spacing w:after="0" w:line="240" w:lineRule="auto"/>
        <w:ind w:left="0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The key objective for this policy is to provide PSPA with a simple framework which will govern decisions on whether a particular document should be retained or disposed of.</w:t>
      </w:r>
    </w:p>
    <w:p w14:paraId="702CD151" w14:textId="0266FD13" w:rsidR="00203A7B" w:rsidRPr="00075AC5" w:rsidRDefault="00203A7B" w:rsidP="00ED32DC">
      <w:pPr>
        <w:pStyle w:val="ListParagraph"/>
        <w:spacing w:after="0" w:line="240" w:lineRule="auto"/>
        <w:ind w:left="0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44078410" w14:textId="7978C0EC" w:rsidR="00203A7B" w:rsidRPr="00075AC5" w:rsidRDefault="00203A7B" w:rsidP="00ED32DC">
      <w:pPr>
        <w:pStyle w:val="ListParagraph"/>
        <w:spacing w:after="0" w:line="240" w:lineRule="auto"/>
        <w:ind w:left="0"/>
        <w:textAlignment w:val="baseline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Implementation of the policy should ensure transparency when retrieving information for the purposes of a subject access </w:t>
      </w:r>
      <w:r w:rsidR="0F9A61F1" w:rsidRPr="00075AC5">
        <w:rPr>
          <w:rFonts w:ascii="Graphik Regular" w:eastAsia="Times New Roman" w:hAnsi="Graphik Regular" w:cs="Arial"/>
          <w:lang w:eastAsia="en-GB"/>
        </w:rPr>
        <w:t>request and</w:t>
      </w:r>
      <w:r w:rsidR="0010206B" w:rsidRPr="00075AC5">
        <w:rPr>
          <w:rFonts w:ascii="Graphik Regular" w:eastAsia="Times New Roman" w:hAnsi="Graphik Regular" w:cs="Arial"/>
          <w:lang w:eastAsia="en-GB"/>
        </w:rPr>
        <w:t xml:space="preserve"> reduce the amount of information that may be held unnecessarily.</w:t>
      </w:r>
    </w:p>
    <w:p w14:paraId="649BE612" w14:textId="1DAC091C" w:rsidR="0046556C" w:rsidRPr="00075AC5" w:rsidRDefault="0046556C" w:rsidP="00A055D8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66C3089A" w14:textId="75F8BC3A" w:rsidR="0086290A" w:rsidRPr="00075AC5" w:rsidRDefault="00C7576C">
      <w:pPr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For some types of personnel records, there is no definitive retention period: it is up to the employer to decide how long to keep records and it’s a question of judgement ra</w:t>
      </w:r>
      <w:r w:rsidR="006E06A3" w:rsidRPr="00075AC5">
        <w:rPr>
          <w:rFonts w:ascii="Graphik Regular" w:eastAsia="Times New Roman" w:hAnsi="Graphik Regular" w:cs="Arial"/>
          <w:lang w:eastAsia="en-GB"/>
        </w:rPr>
        <w:t xml:space="preserve">ther than a definitive right or wrong.  The time limits in this document are therefore </w:t>
      </w:r>
      <w:r w:rsidR="006E06A3" w:rsidRPr="00075AC5">
        <w:rPr>
          <w:rFonts w:ascii="Graphik Regular" w:eastAsia="Times New Roman" w:hAnsi="Graphik Regular" w:cs="Arial"/>
          <w:lang w:eastAsia="en-GB"/>
        </w:rPr>
        <w:lastRenderedPageBreak/>
        <w:t xml:space="preserve">based </w:t>
      </w:r>
      <w:r w:rsidR="00A44223" w:rsidRPr="00075AC5">
        <w:rPr>
          <w:rFonts w:ascii="Graphik Regular" w:eastAsia="Times New Roman" w:hAnsi="Graphik Regular" w:cs="Arial"/>
          <w:lang w:eastAsia="en-GB"/>
        </w:rPr>
        <w:t>the time limits for</w:t>
      </w:r>
      <w:r w:rsidR="005D38A4" w:rsidRPr="00075AC5">
        <w:rPr>
          <w:rFonts w:ascii="Graphik Regular" w:eastAsia="Times New Roman" w:hAnsi="Graphik Regular" w:cs="Arial"/>
          <w:lang w:eastAsia="en-GB"/>
        </w:rPr>
        <w:t xml:space="preserve"> potential tribunal or civil claims</w:t>
      </w:r>
      <w:r w:rsidR="00A44223" w:rsidRPr="00075AC5">
        <w:rPr>
          <w:rFonts w:ascii="Graphik Regular" w:eastAsia="Times New Roman" w:hAnsi="Graphik Regular" w:cs="Arial"/>
          <w:lang w:eastAsia="en-GB"/>
        </w:rPr>
        <w:t xml:space="preserve"> w</w:t>
      </w:r>
      <w:r w:rsidR="00EE23BA" w:rsidRPr="00075AC5">
        <w:rPr>
          <w:rFonts w:ascii="Graphik Regular" w:eastAsia="Times New Roman" w:hAnsi="Graphik Regular" w:cs="Arial"/>
          <w:lang w:eastAsia="en-GB"/>
        </w:rPr>
        <w:t>here there is no statutory requirement.</w:t>
      </w:r>
    </w:p>
    <w:p w14:paraId="13B9ECFB" w14:textId="105C3266" w:rsidR="685C5BA5" w:rsidRPr="00075AC5" w:rsidRDefault="685C5BA5" w:rsidP="685C5BA5">
      <w:pPr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Good practice principles for processing data outlined by the ICO</w:t>
      </w:r>
    </w:p>
    <w:p w14:paraId="53A21FC0" w14:textId="3CFAEDC4" w:rsidR="685C5BA5" w:rsidRPr="00075AC5" w:rsidRDefault="685C5BA5" w:rsidP="685C5BA5">
      <w:pPr>
        <w:rPr>
          <w:rFonts w:ascii="Graphik Regular" w:eastAsia="Times New Roman" w:hAnsi="Graphik Regular" w:cs="Arial"/>
          <w:b/>
          <w:bCs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All data should be processed with the following principles in mind.</w:t>
      </w:r>
    </w:p>
    <w:p w14:paraId="364D2238" w14:textId="678E3F1B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Fairly and lawfully processed</w:t>
      </w:r>
    </w:p>
    <w:p w14:paraId="1A0D7B1B" w14:textId="21B89057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Processed only for specified and lawful purposes</w:t>
      </w:r>
    </w:p>
    <w:p w14:paraId="30FF409B" w14:textId="654DB14D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Adequate, relevant and not excessive</w:t>
      </w:r>
    </w:p>
    <w:p w14:paraId="2875B20A" w14:textId="216E7800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Accurate and </w:t>
      </w:r>
      <w:proofErr w:type="gramStart"/>
      <w:r w:rsidRPr="00075AC5">
        <w:rPr>
          <w:rFonts w:ascii="Graphik Regular" w:eastAsia="Times New Roman" w:hAnsi="Graphik Regular" w:cs="Arial"/>
          <w:lang w:eastAsia="en-GB"/>
        </w:rPr>
        <w:t>up-to-date</w:t>
      </w:r>
      <w:proofErr w:type="gramEnd"/>
    </w:p>
    <w:p w14:paraId="26CEC181" w14:textId="70D0FA96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Not kept for longer than the purpose specified</w:t>
      </w:r>
    </w:p>
    <w:p w14:paraId="485B369D" w14:textId="3BCF1B07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Processed in accordance with the rights of the data subject</w:t>
      </w:r>
    </w:p>
    <w:p w14:paraId="4D13EE3E" w14:textId="1613AE5C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Secure from the point of collection through to disposal</w:t>
      </w:r>
    </w:p>
    <w:p w14:paraId="5DEF723A" w14:textId="76C5222C" w:rsidR="685C5BA5" w:rsidRPr="00075AC5" w:rsidRDefault="685C5BA5" w:rsidP="685C5BA5">
      <w:pPr>
        <w:pStyle w:val="ListParagraph"/>
        <w:numPr>
          <w:ilvl w:val="0"/>
          <w:numId w:val="2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Not transferred to other countries without adequate protection of data subjects</w:t>
      </w:r>
    </w:p>
    <w:p w14:paraId="5AAA1ABD" w14:textId="69907BBA" w:rsidR="0086290A" w:rsidRPr="00075AC5" w:rsidRDefault="00922319" w:rsidP="685C5BA5">
      <w:pPr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Roles and responsibilities</w:t>
      </w:r>
    </w:p>
    <w:p w14:paraId="66E78B2D" w14:textId="715E22A9" w:rsidR="00922319" w:rsidRPr="00075AC5" w:rsidRDefault="00922319">
      <w:pPr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Members of the Senior Management Team (SMT)</w:t>
      </w:r>
      <w:r w:rsidR="0062038F" w:rsidRPr="00075AC5">
        <w:rPr>
          <w:rFonts w:ascii="Graphik Regular" w:eastAsia="Times New Roman" w:hAnsi="Graphik Regular" w:cs="Arial"/>
          <w:lang w:eastAsia="en-GB"/>
        </w:rPr>
        <w:t xml:space="preserve"> are responsible for determining (in accordance with this policy) whether to retain or dispose of specific documents </w:t>
      </w:r>
      <w:r w:rsidR="00A04034" w:rsidRPr="00075AC5">
        <w:rPr>
          <w:rFonts w:ascii="Graphik Regular" w:eastAsia="Times New Roman" w:hAnsi="Graphik Regular" w:cs="Arial"/>
          <w:lang w:eastAsia="en-GB"/>
        </w:rPr>
        <w:t>within the remit of their service area.</w:t>
      </w:r>
    </w:p>
    <w:p w14:paraId="4364A953" w14:textId="2CBD5070" w:rsidR="00A04034" w:rsidRPr="00075AC5" w:rsidRDefault="00A04034">
      <w:pPr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SMT members may delegate operational aspects of this function within the organisation.</w:t>
      </w:r>
    </w:p>
    <w:p w14:paraId="75C3B30C" w14:textId="6CB8596E" w:rsidR="00A04034" w:rsidRPr="00075AC5" w:rsidRDefault="00276AA3">
      <w:pPr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SMT members should seek advice from the CEO if they are uncertain as to whether the minimum retention periods are prescribed by law, or </w:t>
      </w:r>
      <w:r w:rsidR="00DD42D8" w:rsidRPr="00075AC5">
        <w:rPr>
          <w:rFonts w:ascii="Graphik Regular" w:eastAsia="Times New Roman" w:hAnsi="Graphik Regular" w:cs="Arial"/>
          <w:lang w:eastAsia="en-GB"/>
        </w:rPr>
        <w:t>whether retention of a document is necessary to protect PSPA from a potential claim or for operational purposes.</w:t>
      </w:r>
    </w:p>
    <w:p w14:paraId="218375AA" w14:textId="0C011971" w:rsidR="00615879" w:rsidRPr="00075AC5" w:rsidRDefault="00615879">
      <w:pPr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Methods of disposal</w:t>
      </w:r>
    </w:p>
    <w:p w14:paraId="2139BEB9" w14:textId="3AC91893" w:rsidR="00615879" w:rsidRPr="00075AC5" w:rsidRDefault="00615879">
      <w:pPr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Confidential waste </w:t>
      </w:r>
      <w:r w:rsidR="00A774D4" w:rsidRPr="00075AC5">
        <w:rPr>
          <w:rFonts w:ascii="Graphik Regular" w:eastAsia="Times New Roman" w:hAnsi="Graphik Regular" w:cs="Arial"/>
          <w:lang w:eastAsia="en-GB"/>
        </w:rPr>
        <w:t xml:space="preserve">located at </w:t>
      </w:r>
      <w:r w:rsidRPr="00075AC5">
        <w:rPr>
          <w:rFonts w:ascii="Graphik Regular" w:eastAsia="Times New Roman" w:hAnsi="Graphik Regular" w:cs="Arial"/>
          <w:lang w:eastAsia="en-GB"/>
        </w:rPr>
        <w:t>the Milton Keynes office</w:t>
      </w:r>
      <w:r w:rsidR="00A774D4" w:rsidRPr="00075AC5">
        <w:rPr>
          <w:rFonts w:ascii="Graphik Regular" w:eastAsia="Times New Roman" w:hAnsi="Graphik Regular" w:cs="Arial"/>
          <w:lang w:eastAsia="en-GB"/>
        </w:rPr>
        <w:t xml:space="preserve"> should be disposed of using the shredder and the confidential waste bags.</w:t>
      </w:r>
    </w:p>
    <w:p w14:paraId="4FC096D8" w14:textId="4EDA4248" w:rsidR="00A774D4" w:rsidRPr="00075AC5" w:rsidRDefault="00492DFF">
      <w:pPr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Disposal of</w:t>
      </w:r>
      <w:r w:rsidR="0028447E" w:rsidRPr="00075AC5">
        <w:rPr>
          <w:rFonts w:ascii="Graphik Regular" w:eastAsia="Times New Roman" w:hAnsi="Graphik Regular" w:cs="Arial"/>
          <w:lang w:eastAsia="en-GB"/>
        </w:rPr>
        <w:t xml:space="preserve"> electronic documents should be through secure electronic deletion.</w:t>
      </w:r>
      <w:r w:rsidR="008632E8">
        <w:rPr>
          <w:rFonts w:ascii="Graphik Regular" w:eastAsia="Times New Roman" w:hAnsi="Graphik Regular" w:cs="Arial"/>
          <w:lang w:eastAsia="en-GB"/>
        </w:rPr>
        <w:t xml:space="preserve"> </w:t>
      </w:r>
      <w:r w:rsidR="008632E8" w:rsidRPr="008632E8">
        <w:rPr>
          <w:rFonts w:ascii="Graphik Regular" w:eastAsia="Times New Roman" w:hAnsi="Graphik Regular" w:cs="Arial"/>
          <w:lang w:eastAsia="en-GB"/>
        </w:rPr>
        <w:t>Advice can be sought from the IT providers.</w:t>
      </w:r>
    </w:p>
    <w:p w14:paraId="76C7A7F7" w14:textId="0B4E3165" w:rsidR="003D6161" w:rsidRPr="00075AC5" w:rsidRDefault="003D6161">
      <w:pPr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Disposal and Retention Considerations</w:t>
      </w:r>
    </w:p>
    <w:p w14:paraId="51C9B586" w14:textId="3E50A43F" w:rsidR="003D6161" w:rsidRPr="00075AC5" w:rsidRDefault="003D6161" w:rsidP="685C5BA5">
      <w:pPr>
        <w:pStyle w:val="ListParagraph"/>
        <w:numPr>
          <w:ilvl w:val="0"/>
          <w:numId w:val="7"/>
        </w:numPr>
        <w:rPr>
          <w:rFonts w:ascii="Graphik Regular" w:eastAsiaTheme="minorEastAsia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Has the document been appraised?</w:t>
      </w:r>
    </w:p>
    <w:p w14:paraId="36B9EA6A" w14:textId="101B5C1C" w:rsidR="003D6161" w:rsidRPr="00075AC5" w:rsidRDefault="003D6161" w:rsidP="69B45D1A">
      <w:pPr>
        <w:pStyle w:val="ListParagraph"/>
        <w:numPr>
          <w:ilvl w:val="0"/>
          <w:numId w:val="6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Check that the nature and contents </w:t>
      </w:r>
      <w:r w:rsidR="00DE5255" w:rsidRPr="00075AC5">
        <w:rPr>
          <w:rFonts w:ascii="Graphik Regular" w:eastAsia="Times New Roman" w:hAnsi="Graphik Regular" w:cs="Arial"/>
          <w:lang w:eastAsia="en-GB"/>
        </w:rPr>
        <w:t>of the document is suitable for disposal.</w:t>
      </w:r>
    </w:p>
    <w:p w14:paraId="73B1D81F" w14:textId="77777777" w:rsidR="00075AC5" w:rsidRPr="00075AC5" w:rsidRDefault="00075AC5" w:rsidP="00075AC5">
      <w:pPr>
        <w:pStyle w:val="ListParagraph"/>
        <w:rPr>
          <w:rFonts w:ascii="Graphik Regular" w:hAnsi="Graphik Regular"/>
          <w:lang w:eastAsia="en-GB"/>
        </w:rPr>
      </w:pPr>
    </w:p>
    <w:p w14:paraId="04A955D9" w14:textId="4EAB390A" w:rsidR="00DE5255" w:rsidRPr="00075AC5" w:rsidRDefault="00DE5255" w:rsidP="69B45D1A">
      <w:pPr>
        <w:pStyle w:val="ListParagraph"/>
        <w:numPr>
          <w:ilvl w:val="0"/>
          <w:numId w:val="7"/>
        </w:numPr>
        <w:rPr>
          <w:rFonts w:ascii="Graphik Regular" w:eastAsiaTheme="minorEastAsia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Is retention required to fulfil statutory obligations or other regulatory obligations?</w:t>
      </w:r>
      <w:r w:rsidRPr="00075AC5">
        <w:rPr>
          <w:rFonts w:ascii="Graphik Regular" w:hAnsi="Graphik Regular"/>
          <w:sz w:val="20"/>
          <w:szCs w:val="20"/>
        </w:rPr>
        <w:br/>
      </w:r>
    </w:p>
    <w:p w14:paraId="439BFCD1" w14:textId="560EDB64" w:rsidR="00511A6F" w:rsidRPr="00075AC5" w:rsidRDefault="00511A6F" w:rsidP="69B45D1A">
      <w:pPr>
        <w:pStyle w:val="ListParagraph"/>
        <w:numPr>
          <w:ilvl w:val="0"/>
          <w:numId w:val="7"/>
        </w:numPr>
        <w:rPr>
          <w:rFonts w:ascii="Graphik Regular" w:eastAsiaTheme="minorEastAsia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Is retention required for evidence?</w:t>
      </w:r>
    </w:p>
    <w:p w14:paraId="016259AA" w14:textId="6D643A7B" w:rsidR="00511A6F" w:rsidRPr="00075AC5" w:rsidRDefault="00511A6F" w:rsidP="69B45D1A">
      <w:pPr>
        <w:pStyle w:val="ListParagraph"/>
        <w:numPr>
          <w:ilvl w:val="0"/>
          <w:numId w:val="3"/>
        </w:numPr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Keep any documents required for legal proceedings until the threat of proceedings has passed.</w:t>
      </w:r>
      <w:r w:rsidRPr="00075AC5">
        <w:rPr>
          <w:rFonts w:ascii="Graphik Regular" w:hAnsi="Graphik Regular"/>
          <w:sz w:val="20"/>
          <w:szCs w:val="20"/>
        </w:rPr>
        <w:br/>
      </w:r>
    </w:p>
    <w:p w14:paraId="73FA1EA1" w14:textId="45BDC17D" w:rsidR="00511A6F" w:rsidRPr="00075AC5" w:rsidRDefault="0036445E" w:rsidP="69B45D1A">
      <w:pPr>
        <w:pStyle w:val="ListParagraph"/>
        <w:numPr>
          <w:ilvl w:val="0"/>
          <w:numId w:val="7"/>
        </w:numPr>
        <w:rPr>
          <w:rFonts w:ascii="Graphik Regular" w:eastAsiaTheme="minorEastAsia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Is retention required to meet the operational needs of the service?</w:t>
      </w:r>
    </w:p>
    <w:p w14:paraId="3EC6DA9E" w14:textId="77777777" w:rsidR="00DE5255" w:rsidRPr="00075AC5" w:rsidRDefault="00DE5255">
      <w:pPr>
        <w:rPr>
          <w:rFonts w:ascii="Graphik Regular" w:eastAsia="Times New Roman" w:hAnsi="Graphik Regular" w:cs="Arial"/>
          <w:lang w:eastAsia="en-GB"/>
        </w:rPr>
      </w:pPr>
    </w:p>
    <w:p w14:paraId="6200D33B" w14:textId="77777777" w:rsidR="00615879" w:rsidRPr="00075AC5" w:rsidRDefault="00615879">
      <w:pPr>
        <w:rPr>
          <w:rFonts w:ascii="Graphik Regular" w:eastAsia="Times New Roman" w:hAnsi="Graphik Regular" w:cs="Arial"/>
          <w:lang w:eastAsia="en-GB"/>
        </w:rPr>
      </w:pPr>
    </w:p>
    <w:p w14:paraId="2E058357" w14:textId="77777777" w:rsidR="0086290A" w:rsidRPr="00075AC5" w:rsidRDefault="0086290A">
      <w:pPr>
        <w:rPr>
          <w:rFonts w:ascii="Graphik Regular" w:eastAsia="Times New Roman" w:hAnsi="Graphik Regular" w:cs="Arial"/>
          <w:lang w:eastAsia="en-GB"/>
        </w:rPr>
      </w:pPr>
    </w:p>
    <w:p w14:paraId="6BE648C4" w14:textId="3DC11D12" w:rsidR="00787E7A" w:rsidRPr="00075AC5" w:rsidRDefault="00075AC5">
      <w:pPr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Financial Information</w:t>
      </w:r>
      <w:r w:rsidR="00F13A49" w:rsidRPr="00075AC5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 xml:space="preserve"> – Head of Finance</w:t>
      </w: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3397"/>
        <w:gridCol w:w="3402"/>
        <w:gridCol w:w="2977"/>
      </w:tblGrid>
      <w:tr w:rsidR="00F13A49" w:rsidRPr="00075AC5" w14:paraId="075C5EF2" w14:textId="49D647A7" w:rsidTr="005FBC94">
        <w:tc>
          <w:tcPr>
            <w:tcW w:w="3397" w:type="dxa"/>
          </w:tcPr>
          <w:p w14:paraId="4C0CAFA0" w14:textId="10F08B71" w:rsidR="00F13A49" w:rsidRPr="00075AC5" w:rsidRDefault="00F13A49" w:rsidP="00A055D8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3402" w:type="dxa"/>
          </w:tcPr>
          <w:p w14:paraId="1DBA6A1D" w14:textId="6A70EC05" w:rsidR="00F13A49" w:rsidRPr="00075AC5" w:rsidRDefault="00F13A49" w:rsidP="00A055D8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Retention period</w:t>
            </w:r>
          </w:p>
        </w:tc>
        <w:tc>
          <w:tcPr>
            <w:tcW w:w="2977" w:type="dxa"/>
          </w:tcPr>
          <w:p w14:paraId="3200DE9E" w14:textId="7163B2DC" w:rsidR="00F13A49" w:rsidRPr="00075AC5" w:rsidRDefault="4AFBED1A" w:rsidP="00A055D8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Ba</w:t>
            </w:r>
            <w:r w:rsidR="00F13A49"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sis for retention</w:t>
            </w:r>
          </w:p>
          <w:p w14:paraId="080A1F38" w14:textId="3ACEFE5C" w:rsidR="00F13A49" w:rsidRPr="00075AC5" w:rsidRDefault="00F13A49" w:rsidP="00A055D8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F13A49" w:rsidRPr="00075AC5" w14:paraId="1B42A147" w14:textId="0677655D" w:rsidTr="005FBC94">
        <w:tc>
          <w:tcPr>
            <w:tcW w:w="3397" w:type="dxa"/>
          </w:tcPr>
          <w:p w14:paraId="7DB314D8" w14:textId="34FC98AC" w:rsidR="00F13A49" w:rsidRPr="00075AC5" w:rsidRDefault="00ED27F0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Accounting records</w:t>
            </w:r>
          </w:p>
        </w:tc>
        <w:tc>
          <w:tcPr>
            <w:tcW w:w="3402" w:type="dxa"/>
          </w:tcPr>
          <w:p w14:paraId="08822CC3" w14:textId="20ED1BDA" w:rsidR="008632E8" w:rsidRPr="008632E8" w:rsidRDefault="00ED27F0" w:rsidP="008632E8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7005E3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</w:t>
            </w:r>
            <w:r w:rsidR="008632E8" w:rsidRPr="007005E3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. </w:t>
            </w:r>
            <w:r w:rsidR="008632E8" w:rsidRPr="007005E3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 xml:space="preserve">Purchases expected to last </w:t>
            </w:r>
            <w:r w:rsidR="008632E8" w:rsidRPr="008632E8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over six years (e.g.,</w:t>
            </w:r>
          </w:p>
          <w:p w14:paraId="04FBF2A9" w14:textId="430AED05" w:rsidR="008632E8" w:rsidRPr="008632E8" w:rsidRDefault="008632E8" w:rsidP="008632E8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632E8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 xml:space="preserve">equipment) require </w:t>
            </w:r>
            <w:r w:rsidRPr="007005E3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r</w:t>
            </w:r>
            <w:r w:rsidRPr="008632E8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ecordkeeping</w:t>
            </w:r>
          </w:p>
          <w:p w14:paraId="5098EB40" w14:textId="77777777" w:rsidR="008632E8" w:rsidRPr="008632E8" w:rsidRDefault="008632E8" w:rsidP="008632E8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632E8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for the asset's</w:t>
            </w:r>
          </w:p>
          <w:p w14:paraId="5A33A5BE" w14:textId="1585D663" w:rsidR="00F13A49" w:rsidRPr="007005E3" w:rsidRDefault="008632E8" w:rsidP="008632E8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7005E3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lifespan.</w:t>
            </w:r>
          </w:p>
        </w:tc>
        <w:tc>
          <w:tcPr>
            <w:tcW w:w="2977" w:type="dxa"/>
          </w:tcPr>
          <w:p w14:paraId="00D10827" w14:textId="77777777" w:rsidR="00F13A49" w:rsidRPr="00075AC5" w:rsidRDefault="008A77B6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Companies act 1985, 1989 &amp; 2006</w:t>
            </w:r>
          </w:p>
          <w:p w14:paraId="2B133771" w14:textId="4DAAEA52" w:rsidR="008A77B6" w:rsidRPr="00075AC5" w:rsidRDefault="008632E8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HMRC</w:t>
            </w:r>
          </w:p>
        </w:tc>
      </w:tr>
      <w:tr w:rsidR="00F13A49" w:rsidRPr="00075AC5" w14:paraId="02720050" w14:textId="633D0296" w:rsidTr="005FBC94">
        <w:tc>
          <w:tcPr>
            <w:tcW w:w="3397" w:type="dxa"/>
          </w:tcPr>
          <w:p w14:paraId="6631CF3F" w14:textId="6333648E" w:rsidR="00F13A49" w:rsidRPr="00075AC5" w:rsidRDefault="008A77B6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Income tax, NI returns</w:t>
            </w:r>
          </w:p>
        </w:tc>
        <w:tc>
          <w:tcPr>
            <w:tcW w:w="3402" w:type="dxa"/>
          </w:tcPr>
          <w:p w14:paraId="7EB55FC8" w14:textId="77777777" w:rsidR="00F13A49" w:rsidRPr="007005E3" w:rsidRDefault="008A77B6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7005E3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Not less than 3 years after the end of the financial year to which they relate.</w:t>
            </w:r>
          </w:p>
          <w:p w14:paraId="1FE89568" w14:textId="66E873F5" w:rsidR="008A77B6" w:rsidRPr="007005E3" w:rsidRDefault="008A77B6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16E24B5E" w14:textId="5FAF9260" w:rsidR="00F13A49" w:rsidRPr="00075AC5" w:rsidRDefault="006E7342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Income Tax (employments regulations) 1993.</w:t>
            </w:r>
          </w:p>
        </w:tc>
      </w:tr>
      <w:tr w:rsidR="00F7634E" w:rsidRPr="00075AC5" w14:paraId="3AD0BA9D" w14:textId="77777777" w:rsidTr="005FBC94">
        <w:tc>
          <w:tcPr>
            <w:tcW w:w="3397" w:type="dxa"/>
          </w:tcPr>
          <w:p w14:paraId="484544C1" w14:textId="77777777" w:rsidR="00F7634E" w:rsidRPr="00075AC5" w:rsidRDefault="00F7634E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Statutory sick pay</w:t>
            </w:r>
            <w:r w:rsidR="009C71B3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, certificates</w:t>
            </w:r>
          </w:p>
          <w:p w14:paraId="5ECD0B57" w14:textId="43EF2402" w:rsidR="009C71B3" w:rsidRPr="00075AC5" w:rsidRDefault="009C71B3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0C1E9E9E" w14:textId="30EC22DB" w:rsidR="00F7634E" w:rsidRPr="007005E3" w:rsidRDefault="009C71B3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7005E3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3 years after the end of the tax year to which they relate.</w:t>
            </w:r>
          </w:p>
          <w:p w14:paraId="7B38F70C" w14:textId="67C5035B" w:rsidR="009C71B3" w:rsidRPr="007005E3" w:rsidRDefault="009C71B3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536A9486" w14:textId="132AB9C2" w:rsidR="00F7634E" w:rsidRPr="00075AC5" w:rsidRDefault="0013194E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The Statutory Sick Pay (General) Regulations 1982</w:t>
            </w:r>
          </w:p>
        </w:tc>
      </w:tr>
      <w:tr w:rsidR="00F13A49" w:rsidRPr="00075AC5" w14:paraId="361D6AF3" w14:textId="28BD1970" w:rsidTr="005FBC94">
        <w:tc>
          <w:tcPr>
            <w:tcW w:w="3397" w:type="dxa"/>
          </w:tcPr>
          <w:p w14:paraId="69FB1FED" w14:textId="77777777" w:rsidR="00F13A49" w:rsidRPr="00075AC5" w:rsidRDefault="003D2376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Wages/salary records</w:t>
            </w:r>
            <w:r w:rsidR="00085DE7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including furlough agreements</w:t>
            </w:r>
          </w:p>
          <w:p w14:paraId="6A82A226" w14:textId="20474A53" w:rsidR="00085DE7" w:rsidRPr="00075AC5" w:rsidRDefault="00085DE7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65D9EA13" w14:textId="77777777" w:rsidR="007005E3" w:rsidRPr="007005E3" w:rsidRDefault="00085DE7" w:rsidP="007005E3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7005E3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</w:t>
            </w:r>
            <w:r w:rsidR="007005E3" w:rsidRPr="007005E3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</w:t>
            </w:r>
            <w:r w:rsidR="007005E3" w:rsidRPr="007005E3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after the end of the</w:t>
            </w:r>
          </w:p>
          <w:p w14:paraId="73F5D0D6" w14:textId="77777777" w:rsidR="007005E3" w:rsidRPr="007005E3" w:rsidRDefault="007005E3" w:rsidP="007005E3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7005E3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financial year to which they</w:t>
            </w:r>
          </w:p>
          <w:p w14:paraId="309388A4" w14:textId="38599E33" w:rsidR="00F13A49" w:rsidRPr="007005E3" w:rsidRDefault="007005E3" w:rsidP="007005E3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7005E3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relate.</w:t>
            </w:r>
          </w:p>
        </w:tc>
        <w:tc>
          <w:tcPr>
            <w:tcW w:w="2977" w:type="dxa"/>
          </w:tcPr>
          <w:p w14:paraId="089ACFAA" w14:textId="607FC221" w:rsidR="00F13A49" w:rsidRPr="00075AC5" w:rsidRDefault="00085DE7" w:rsidP="00151E5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Taxes Management Act 1970</w:t>
            </w:r>
          </w:p>
        </w:tc>
      </w:tr>
      <w:tr w:rsidR="003D2376" w:rsidRPr="00075AC5" w14:paraId="1F217C2D" w14:textId="33E060F1" w:rsidTr="005FBC94">
        <w:tc>
          <w:tcPr>
            <w:tcW w:w="3397" w:type="dxa"/>
          </w:tcPr>
          <w:p w14:paraId="219CBCFA" w14:textId="0304A0E0" w:rsidR="003D2376" w:rsidRPr="00075AC5" w:rsidRDefault="003D2376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Statutory maternity pay records and certificates</w:t>
            </w:r>
          </w:p>
        </w:tc>
        <w:tc>
          <w:tcPr>
            <w:tcW w:w="3402" w:type="dxa"/>
          </w:tcPr>
          <w:p w14:paraId="639C66DF" w14:textId="77777777" w:rsidR="003D2376" w:rsidRPr="00075AC5" w:rsidRDefault="003D2376" w:rsidP="003D2376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3 years after the end of the tax year in which the maternity period ends.</w:t>
            </w:r>
          </w:p>
          <w:p w14:paraId="150A8E5A" w14:textId="5D9FEC3E" w:rsidR="003D2376" w:rsidRPr="00075AC5" w:rsidRDefault="003D2376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19605174" w14:textId="02236D62" w:rsidR="003D2376" w:rsidRPr="00075AC5" w:rsidRDefault="003D2376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Statutory maternity regulations 1986.</w:t>
            </w:r>
          </w:p>
        </w:tc>
      </w:tr>
      <w:tr w:rsidR="003D2376" w:rsidRPr="00075AC5" w14:paraId="17902D65" w14:textId="2EF63E46" w:rsidTr="005FBC94">
        <w:tc>
          <w:tcPr>
            <w:tcW w:w="3397" w:type="dxa"/>
          </w:tcPr>
          <w:p w14:paraId="5EC914B0" w14:textId="02BDFB7E" w:rsidR="003D2376" w:rsidRPr="00075AC5" w:rsidRDefault="00F50245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Annual Accounts</w:t>
            </w:r>
            <w:r w:rsidR="00356C18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and review</w:t>
            </w:r>
          </w:p>
        </w:tc>
        <w:tc>
          <w:tcPr>
            <w:tcW w:w="3402" w:type="dxa"/>
          </w:tcPr>
          <w:p w14:paraId="1075850C" w14:textId="77777777" w:rsidR="003D2376" w:rsidRPr="00075AC5" w:rsidRDefault="00356C18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Permanent.</w:t>
            </w:r>
          </w:p>
          <w:p w14:paraId="632B8B69" w14:textId="1D097FB8" w:rsidR="00356C18" w:rsidRPr="00075AC5" w:rsidRDefault="00356C18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6F5E8138" w14:textId="77777777" w:rsidR="003D2376" w:rsidRPr="00075AC5" w:rsidRDefault="003D2376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003D2376" w:rsidRPr="00075AC5" w14:paraId="3100D485" w14:textId="616EDE5F" w:rsidTr="005FBC94">
        <w:tc>
          <w:tcPr>
            <w:tcW w:w="3397" w:type="dxa"/>
          </w:tcPr>
          <w:p w14:paraId="31E4DDF9" w14:textId="77777777" w:rsidR="003D2376" w:rsidRPr="00075AC5" w:rsidRDefault="00842385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Gift aid</w:t>
            </w:r>
          </w:p>
          <w:p w14:paraId="112A2C79" w14:textId="4DA79AA7" w:rsidR="00842385" w:rsidRPr="00075AC5" w:rsidRDefault="00842385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19F8DAF4" w14:textId="112C2D5E" w:rsidR="003D2376" w:rsidRPr="00075AC5" w:rsidRDefault="685C5BA5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 after the end of the accounting period they relate to.</w:t>
            </w:r>
          </w:p>
        </w:tc>
        <w:tc>
          <w:tcPr>
            <w:tcW w:w="2977" w:type="dxa"/>
          </w:tcPr>
          <w:p w14:paraId="0E8F7825" w14:textId="77777777" w:rsidR="003D2376" w:rsidRPr="00075AC5" w:rsidRDefault="003D2376" w:rsidP="003D2376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685C5BA5" w:rsidRPr="00075AC5" w14:paraId="1F63D145" w14:textId="77777777" w:rsidTr="005FBC94">
        <w:tc>
          <w:tcPr>
            <w:tcW w:w="3397" w:type="dxa"/>
          </w:tcPr>
          <w:p w14:paraId="06C8D747" w14:textId="566E4B3D" w:rsidR="685C5BA5" w:rsidRPr="00354112" w:rsidRDefault="685C5BA5" w:rsidP="685C5BA5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54112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Credit card data</w:t>
            </w:r>
          </w:p>
          <w:p w14:paraId="02589970" w14:textId="4E6FCA18" w:rsidR="685C5BA5" w:rsidRPr="00354112" w:rsidRDefault="685C5BA5" w:rsidP="685C5BA5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208A2433" w14:textId="277C559A" w:rsidR="685C5BA5" w:rsidRPr="00354112" w:rsidRDefault="1AA00E75" w:rsidP="685C5BA5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54112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Not to be retained.</w:t>
            </w:r>
          </w:p>
        </w:tc>
        <w:tc>
          <w:tcPr>
            <w:tcW w:w="2977" w:type="dxa"/>
          </w:tcPr>
          <w:p w14:paraId="1E4E6412" w14:textId="6CC823C7" w:rsidR="685C5BA5" w:rsidRPr="00075AC5" w:rsidRDefault="685C5BA5" w:rsidP="685C5BA5">
            <w:pPr>
              <w:rPr>
                <w:rFonts w:ascii="Graphik Regular" w:eastAsia="Times New Roman" w:hAnsi="Graphik Regular" w:cs="Arial"/>
                <w:sz w:val="22"/>
                <w:szCs w:val="22"/>
                <w:highlight w:val="yellow"/>
                <w:lang w:eastAsia="en-GB"/>
              </w:rPr>
            </w:pPr>
          </w:p>
        </w:tc>
      </w:tr>
      <w:tr w:rsidR="69B45D1A" w:rsidRPr="00075AC5" w14:paraId="5D7BD0ED" w14:textId="77777777" w:rsidTr="005FBC94">
        <w:trPr>
          <w:trHeight w:val="300"/>
        </w:trPr>
        <w:tc>
          <w:tcPr>
            <w:tcW w:w="3397" w:type="dxa"/>
          </w:tcPr>
          <w:p w14:paraId="5B0C2D9E" w14:textId="084C2EE9" w:rsidR="766F3449" w:rsidRPr="00075AC5" w:rsidRDefault="766F3449" w:rsidP="69B45D1A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Pension records</w:t>
            </w:r>
          </w:p>
        </w:tc>
        <w:tc>
          <w:tcPr>
            <w:tcW w:w="3402" w:type="dxa"/>
          </w:tcPr>
          <w:p w14:paraId="0D20DCC1" w14:textId="414A60D6" w:rsidR="766F3449" w:rsidRPr="00075AC5" w:rsidRDefault="766F3449" w:rsidP="69B45D1A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12 years from the ending of any benefit payable</w:t>
            </w:r>
          </w:p>
        </w:tc>
        <w:tc>
          <w:tcPr>
            <w:tcW w:w="2977" w:type="dxa"/>
          </w:tcPr>
          <w:p w14:paraId="51AC083C" w14:textId="0569424F" w:rsidR="766F3449" w:rsidRPr="00075AC5" w:rsidRDefault="766F3449" w:rsidP="69B45D1A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Non statutory but recommended.</w:t>
            </w:r>
          </w:p>
        </w:tc>
      </w:tr>
    </w:tbl>
    <w:p w14:paraId="53F6CD69" w14:textId="48B14059" w:rsidR="009B21A9" w:rsidRPr="00075AC5" w:rsidRDefault="009B21A9" w:rsidP="00A055D8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52FE6455" w14:textId="0A2D5788" w:rsidR="00E06427" w:rsidRPr="00354112" w:rsidRDefault="00394562" w:rsidP="00A055D8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 xml:space="preserve">Governance, </w:t>
      </w:r>
      <w:r w:rsidR="000676ED"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HR</w:t>
      </w:r>
      <w:r w:rsidR="005A7CF8"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 xml:space="preserve"> and Health and Safety</w:t>
      </w:r>
      <w:r w:rsidR="000676ED"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 xml:space="preserve"> data - CEO</w:t>
      </w:r>
    </w:p>
    <w:p w14:paraId="55C9C0B2" w14:textId="77777777" w:rsidR="00E06427" w:rsidRPr="00075AC5" w:rsidRDefault="00E06427" w:rsidP="00A055D8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3397"/>
        <w:gridCol w:w="3402"/>
        <w:gridCol w:w="2977"/>
      </w:tblGrid>
      <w:tr w:rsidR="00E06427" w:rsidRPr="00075AC5" w14:paraId="4A246A3E" w14:textId="77777777" w:rsidTr="28FD1075">
        <w:tc>
          <w:tcPr>
            <w:tcW w:w="3397" w:type="dxa"/>
          </w:tcPr>
          <w:p w14:paraId="746A5005" w14:textId="77777777" w:rsidR="00E06427" w:rsidRPr="00075AC5" w:rsidRDefault="00E06427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3402" w:type="dxa"/>
          </w:tcPr>
          <w:p w14:paraId="2D8CCBD3" w14:textId="77777777" w:rsidR="00E06427" w:rsidRPr="00075AC5" w:rsidRDefault="00E06427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Retention period</w:t>
            </w:r>
          </w:p>
        </w:tc>
        <w:tc>
          <w:tcPr>
            <w:tcW w:w="2977" w:type="dxa"/>
          </w:tcPr>
          <w:p w14:paraId="3C4E47CB" w14:textId="0ACB3333" w:rsidR="00E06427" w:rsidRPr="00075AC5" w:rsidRDefault="10C156AF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B</w:t>
            </w:r>
            <w:r w:rsidR="6895F26A"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asis for retention</w:t>
            </w:r>
          </w:p>
          <w:p w14:paraId="2225123C" w14:textId="77777777" w:rsidR="00E06427" w:rsidRPr="00075AC5" w:rsidRDefault="00E06427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E06427" w:rsidRPr="00075AC5" w14:paraId="265CC899" w14:textId="77777777" w:rsidTr="28FD1075">
        <w:tc>
          <w:tcPr>
            <w:tcW w:w="3397" w:type="dxa"/>
          </w:tcPr>
          <w:p w14:paraId="2BFA09A1" w14:textId="49D6FF7E" w:rsidR="00E06427" w:rsidRPr="00075AC5" w:rsidRDefault="000676ED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Employee records</w:t>
            </w:r>
          </w:p>
          <w:p w14:paraId="720CA2FE" w14:textId="5BECF183" w:rsidR="000676ED" w:rsidRPr="00075AC5" w:rsidRDefault="000676ED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69D5CC47" w14:textId="750ED38F" w:rsidR="00E06427" w:rsidRPr="00075AC5" w:rsidRDefault="00600D9E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</w:t>
            </w:r>
          </w:p>
        </w:tc>
        <w:tc>
          <w:tcPr>
            <w:tcW w:w="2977" w:type="dxa"/>
          </w:tcPr>
          <w:p w14:paraId="171306BA" w14:textId="77777777" w:rsidR="00E06427" w:rsidRPr="00075AC5" w:rsidRDefault="00E06427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00E06427" w:rsidRPr="00075AC5" w14:paraId="0B8D277B" w14:textId="77777777" w:rsidTr="28FD1075">
        <w:tc>
          <w:tcPr>
            <w:tcW w:w="3397" w:type="dxa"/>
          </w:tcPr>
          <w:p w14:paraId="5FD13229" w14:textId="77777777" w:rsidR="00E06427" w:rsidRPr="00075AC5" w:rsidRDefault="000676ED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Applicant</w:t>
            </w:r>
            <w:r w:rsidR="00600D9E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and interview records</w:t>
            </w:r>
          </w:p>
          <w:p w14:paraId="50884CA7" w14:textId="657F4D9B" w:rsidR="005A7CF8" w:rsidRPr="00075AC5" w:rsidRDefault="005A7CF8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17F18FEB" w14:textId="12344A55" w:rsidR="00E06427" w:rsidRPr="00075AC5" w:rsidRDefault="18F99B77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months</w:t>
            </w:r>
          </w:p>
        </w:tc>
        <w:tc>
          <w:tcPr>
            <w:tcW w:w="2977" w:type="dxa"/>
          </w:tcPr>
          <w:p w14:paraId="5E1CEAB4" w14:textId="77777777" w:rsidR="00E06427" w:rsidRPr="00075AC5" w:rsidRDefault="6F5B9D33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Based on the time limit </w:t>
            </w:r>
            <w:r w:rsidR="141530A6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in the various Discrimination Acts.</w:t>
            </w:r>
          </w:p>
          <w:p w14:paraId="6B966AA0" w14:textId="6B0C9E2C" w:rsidR="00C62062" w:rsidRPr="00075AC5" w:rsidRDefault="00C62062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00E06427" w:rsidRPr="00075AC5" w14:paraId="67168F0D" w14:textId="77777777" w:rsidTr="28FD1075">
        <w:tc>
          <w:tcPr>
            <w:tcW w:w="3397" w:type="dxa"/>
          </w:tcPr>
          <w:p w14:paraId="5EAF972C" w14:textId="77777777" w:rsidR="00E06427" w:rsidRPr="00075AC5" w:rsidRDefault="005A7CF8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lastRenderedPageBreak/>
              <w:t>Accident books</w:t>
            </w:r>
            <w:r w:rsidR="00ED27F0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, records and reports</w:t>
            </w:r>
          </w:p>
          <w:p w14:paraId="413041FF" w14:textId="494B0946" w:rsidR="00077967" w:rsidRPr="00075AC5" w:rsidRDefault="00077967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7360A2D5" w14:textId="5DD9E6AA" w:rsidR="00E06427" w:rsidRPr="00075AC5" w:rsidRDefault="00ED27F0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3 years after date of last entry</w:t>
            </w:r>
          </w:p>
        </w:tc>
        <w:tc>
          <w:tcPr>
            <w:tcW w:w="2977" w:type="dxa"/>
          </w:tcPr>
          <w:p w14:paraId="71C71730" w14:textId="109E7934" w:rsidR="00E06427" w:rsidRPr="00075AC5" w:rsidRDefault="550493AA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RIDDOR regulations 1995</w:t>
            </w:r>
          </w:p>
        </w:tc>
      </w:tr>
      <w:tr w:rsidR="00E06427" w:rsidRPr="00075AC5" w14:paraId="18C00E1D" w14:textId="77777777" w:rsidTr="28FD1075">
        <w:tc>
          <w:tcPr>
            <w:tcW w:w="3397" w:type="dxa"/>
          </w:tcPr>
          <w:p w14:paraId="677ACA0D" w14:textId="1E84F9E8" w:rsidR="00E06427" w:rsidRPr="00075AC5" w:rsidRDefault="002C1D35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Parental leave</w:t>
            </w:r>
          </w:p>
        </w:tc>
        <w:tc>
          <w:tcPr>
            <w:tcW w:w="3402" w:type="dxa"/>
          </w:tcPr>
          <w:p w14:paraId="6CA636E0" w14:textId="5442E3CE" w:rsidR="003D2376" w:rsidRPr="00075AC5" w:rsidRDefault="41351961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3</w:t>
            </w:r>
            <w:r w:rsidR="205285D3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years from </w:t>
            </w:r>
            <w:r w:rsidR="515BB6E7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end of tax period they relate to.</w:t>
            </w:r>
          </w:p>
        </w:tc>
        <w:tc>
          <w:tcPr>
            <w:tcW w:w="2977" w:type="dxa"/>
          </w:tcPr>
          <w:p w14:paraId="32A755E0" w14:textId="458AC3CC" w:rsidR="00EE23BA" w:rsidRPr="00075AC5" w:rsidRDefault="515BB6E7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HMRC</w:t>
            </w:r>
          </w:p>
        </w:tc>
      </w:tr>
      <w:tr w:rsidR="007005E3" w:rsidRPr="00075AC5" w14:paraId="460E32D9" w14:textId="77777777" w:rsidTr="28FD1075">
        <w:tc>
          <w:tcPr>
            <w:tcW w:w="3397" w:type="dxa"/>
          </w:tcPr>
          <w:p w14:paraId="03C128FA" w14:textId="5B5CA415" w:rsidR="00994A0D" w:rsidRPr="00994A0D" w:rsidRDefault="00994A0D" w:rsidP="00994A0D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994A0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Termination of employment.</w:t>
            </w:r>
          </w:p>
          <w:p w14:paraId="244DA855" w14:textId="77777777" w:rsidR="00994A0D" w:rsidRPr="00994A0D" w:rsidRDefault="00994A0D" w:rsidP="00994A0D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994A0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Redundancy</w:t>
            </w:r>
          </w:p>
          <w:p w14:paraId="398FA545" w14:textId="6E7F433F" w:rsidR="007005E3" w:rsidRPr="00994A0D" w:rsidRDefault="007005E3" w:rsidP="00994A0D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56C42833" w14:textId="47E58D10" w:rsidR="007005E3" w:rsidRPr="00994A0D" w:rsidRDefault="00994A0D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994A0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At least 6 years</w:t>
            </w:r>
          </w:p>
        </w:tc>
        <w:tc>
          <w:tcPr>
            <w:tcW w:w="2977" w:type="dxa"/>
          </w:tcPr>
          <w:p w14:paraId="3E470817" w14:textId="2343AF24" w:rsidR="007005E3" w:rsidRPr="00994A0D" w:rsidRDefault="00994A0D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994A0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CIPD</w:t>
            </w:r>
          </w:p>
        </w:tc>
      </w:tr>
      <w:tr w:rsidR="00E06427" w:rsidRPr="00075AC5" w14:paraId="581F9161" w14:textId="77777777" w:rsidTr="28FD1075">
        <w:tc>
          <w:tcPr>
            <w:tcW w:w="3397" w:type="dxa"/>
          </w:tcPr>
          <w:p w14:paraId="1AEA2323" w14:textId="12713129" w:rsidR="00E06427" w:rsidRPr="00075AC5" w:rsidRDefault="00394562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Trustee minutes and papers</w:t>
            </w:r>
          </w:p>
        </w:tc>
        <w:tc>
          <w:tcPr>
            <w:tcW w:w="3402" w:type="dxa"/>
          </w:tcPr>
          <w:p w14:paraId="1701D1B6" w14:textId="77777777" w:rsidR="00E06427" w:rsidRPr="00075AC5" w:rsidRDefault="00394562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Permanently</w:t>
            </w:r>
          </w:p>
          <w:p w14:paraId="2352BCD3" w14:textId="2D2F9F5F" w:rsidR="00394562" w:rsidRPr="00075AC5" w:rsidRDefault="00394562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2543F0B4" w14:textId="77777777" w:rsidR="00E06427" w:rsidRPr="00075AC5" w:rsidRDefault="00E06427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00E06427" w:rsidRPr="00075AC5" w14:paraId="6AC94A8B" w14:textId="77777777" w:rsidTr="28FD1075">
        <w:tc>
          <w:tcPr>
            <w:tcW w:w="3397" w:type="dxa"/>
          </w:tcPr>
          <w:p w14:paraId="012FE538" w14:textId="53B03F47" w:rsidR="00E06427" w:rsidRPr="00075AC5" w:rsidRDefault="4D60CE03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Memorandum and articles of incorporation</w:t>
            </w:r>
            <w:r w:rsidR="6C4161A9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any agreements to changes to these.</w:t>
            </w:r>
          </w:p>
          <w:p w14:paraId="4E190CDB" w14:textId="27F51B95" w:rsidR="00027759" w:rsidRPr="00075AC5" w:rsidRDefault="00027759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320F0680" w14:textId="72AFFA0C" w:rsidR="00E06427" w:rsidRPr="00075AC5" w:rsidRDefault="00027759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Permanently</w:t>
            </w:r>
          </w:p>
        </w:tc>
        <w:tc>
          <w:tcPr>
            <w:tcW w:w="2977" w:type="dxa"/>
          </w:tcPr>
          <w:p w14:paraId="13E4B346" w14:textId="77777777" w:rsidR="00E06427" w:rsidRPr="00075AC5" w:rsidRDefault="00E06427" w:rsidP="69B45D1A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00E06427" w:rsidRPr="00075AC5" w14:paraId="2E3CA857" w14:textId="77777777" w:rsidTr="28FD1075">
        <w:tc>
          <w:tcPr>
            <w:tcW w:w="3397" w:type="dxa"/>
          </w:tcPr>
          <w:p w14:paraId="6A2481AD" w14:textId="5BDCADAB" w:rsidR="00E06427" w:rsidRPr="00075AC5" w:rsidRDefault="685C5BA5" w:rsidP="685C5BA5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Employers' liability insurance</w:t>
            </w:r>
          </w:p>
          <w:p w14:paraId="473D938F" w14:textId="488AF7A2" w:rsidR="00E06427" w:rsidRPr="00075AC5" w:rsidRDefault="00E06427" w:rsidP="685C5BA5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20529F81" w14:textId="4DF224BF" w:rsidR="00E06427" w:rsidRPr="00075AC5" w:rsidRDefault="00994A0D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1</w:t>
            </w:r>
            <w:r w:rsidR="685C5BA5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0 years</w:t>
            </w:r>
          </w:p>
        </w:tc>
        <w:tc>
          <w:tcPr>
            <w:tcW w:w="2977" w:type="dxa"/>
          </w:tcPr>
          <w:p w14:paraId="6D27DA8E" w14:textId="77777777" w:rsidR="00543419" w:rsidRPr="00543419" w:rsidRDefault="00543419" w:rsidP="0054341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543419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There is no longer a 40</w:t>
            </w:r>
          </w:p>
          <w:p w14:paraId="2CF86C15" w14:textId="77777777" w:rsidR="00543419" w:rsidRPr="00543419" w:rsidRDefault="00543419" w:rsidP="0054341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543419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year requirement to keep</w:t>
            </w:r>
          </w:p>
          <w:p w14:paraId="51571ACC" w14:textId="77777777" w:rsidR="00543419" w:rsidRPr="00543419" w:rsidRDefault="00543419" w:rsidP="0054341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543419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records. Business can</w:t>
            </w:r>
          </w:p>
          <w:p w14:paraId="15ABF4A8" w14:textId="77777777" w:rsidR="00543419" w:rsidRPr="00543419" w:rsidRDefault="00543419" w:rsidP="0054341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543419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decide for themselves the</w:t>
            </w:r>
          </w:p>
          <w:p w14:paraId="00D57DC5" w14:textId="77777777" w:rsidR="00543419" w:rsidRPr="00543419" w:rsidRDefault="00543419" w:rsidP="0054341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543419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length they wish to keep</w:t>
            </w:r>
          </w:p>
          <w:p w14:paraId="3C6489C8" w14:textId="19468C8A" w:rsidR="00E06427" w:rsidRPr="00075AC5" w:rsidRDefault="00543419" w:rsidP="00543419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543419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records.</w:t>
            </w:r>
          </w:p>
        </w:tc>
      </w:tr>
      <w:tr w:rsidR="685C5BA5" w:rsidRPr="00075AC5" w14:paraId="69BB92A1" w14:textId="77777777" w:rsidTr="28FD1075">
        <w:tc>
          <w:tcPr>
            <w:tcW w:w="3397" w:type="dxa"/>
          </w:tcPr>
          <w:p w14:paraId="2BD3DFC0" w14:textId="150EC68A" w:rsidR="685C5BA5" w:rsidRPr="00075AC5" w:rsidRDefault="685C5BA5" w:rsidP="685C5BA5">
            <w:pPr>
              <w:jc w:val="both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General Insurance</w:t>
            </w:r>
          </w:p>
          <w:p w14:paraId="3F1B87A6" w14:textId="7A0CA4DF" w:rsidR="685C5BA5" w:rsidRPr="00075AC5" w:rsidRDefault="685C5BA5" w:rsidP="685C5BA5">
            <w:pPr>
              <w:jc w:val="both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514D6E7C" w14:textId="77777777" w:rsidR="00543419" w:rsidRPr="00543419" w:rsidRDefault="685C5BA5" w:rsidP="00543419">
            <w:pPr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543419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7 years</w:t>
            </w:r>
            <w:r w:rsidR="00543419" w:rsidRPr="00543419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</w:t>
            </w:r>
            <w:r w:rsidR="00543419" w:rsidRPr="00543419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paper</w:t>
            </w:r>
          </w:p>
          <w:p w14:paraId="53F6E74D" w14:textId="22946FC1" w:rsidR="685C5BA5" w:rsidRPr="00543419" w:rsidRDefault="00543419" w:rsidP="00543419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543419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10 years electronic</w:t>
            </w:r>
          </w:p>
        </w:tc>
        <w:tc>
          <w:tcPr>
            <w:tcW w:w="2977" w:type="dxa"/>
          </w:tcPr>
          <w:p w14:paraId="2FB521CB" w14:textId="18ED34B4" w:rsidR="685C5BA5" w:rsidRPr="00075AC5" w:rsidRDefault="685C5BA5" w:rsidP="69B45D1A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  <w:tr w:rsidR="685C5BA5" w:rsidRPr="00075AC5" w14:paraId="07CBEDC4" w14:textId="77777777" w:rsidTr="28FD1075">
        <w:tc>
          <w:tcPr>
            <w:tcW w:w="3397" w:type="dxa"/>
          </w:tcPr>
          <w:p w14:paraId="3F67B0D0" w14:textId="3E78F927" w:rsidR="685C5BA5" w:rsidRPr="00075AC5" w:rsidRDefault="685C5BA5" w:rsidP="685C5BA5">
            <w:pPr>
              <w:jc w:val="both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Contracts</w:t>
            </w:r>
          </w:p>
          <w:p w14:paraId="033AF289" w14:textId="126CEC40" w:rsidR="685C5BA5" w:rsidRPr="00075AC5" w:rsidRDefault="685C5BA5" w:rsidP="685C5BA5">
            <w:pPr>
              <w:jc w:val="both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26A538A9" w14:textId="7C64F38F" w:rsidR="685C5BA5" w:rsidRPr="00075AC5" w:rsidRDefault="4CF9E1E5" w:rsidP="28FD1075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 from the end of contract period</w:t>
            </w:r>
          </w:p>
        </w:tc>
        <w:tc>
          <w:tcPr>
            <w:tcW w:w="2977" w:type="dxa"/>
          </w:tcPr>
          <w:p w14:paraId="470B5114" w14:textId="426BF9F3" w:rsidR="685C5BA5" w:rsidRPr="00075AC5" w:rsidRDefault="4CF9E1E5" w:rsidP="69B45D1A">
            <w:pP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Not statutory but recommended as end of period for claims.</w:t>
            </w:r>
          </w:p>
        </w:tc>
      </w:tr>
    </w:tbl>
    <w:p w14:paraId="1015FB27" w14:textId="0E86103E" w:rsidR="69B45D1A" w:rsidRPr="00075AC5" w:rsidRDefault="69B45D1A">
      <w:pPr>
        <w:rPr>
          <w:rFonts w:ascii="Graphik Regular" w:hAnsi="Graphik Regular"/>
          <w:sz w:val="20"/>
          <w:szCs w:val="20"/>
        </w:rPr>
      </w:pPr>
    </w:p>
    <w:p w14:paraId="3B86DE09" w14:textId="3559BADC" w:rsidR="00C348A4" w:rsidRPr="00354112" w:rsidRDefault="00C348A4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Supporter records – Head of Fundraising</w:t>
      </w:r>
    </w:p>
    <w:p w14:paraId="40C9EF71" w14:textId="0727C203" w:rsidR="00614766" w:rsidRPr="00614766" w:rsidRDefault="63AEE691" w:rsidP="00614766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These records relate to anyone who gives money</w:t>
      </w:r>
      <w:r w:rsidR="00EF394D">
        <w:rPr>
          <w:rFonts w:ascii="Graphik Regular" w:eastAsia="Times New Roman" w:hAnsi="Graphik Regular" w:cs="Arial"/>
          <w:lang w:eastAsia="en-GB"/>
        </w:rPr>
        <w:t xml:space="preserve">, </w:t>
      </w:r>
      <w:r w:rsidR="00614766" w:rsidRPr="00614766">
        <w:rPr>
          <w:rFonts w:ascii="Graphik Regular" w:eastAsia="Times New Roman" w:hAnsi="Graphik Regular" w:cs="Arial"/>
          <w:lang w:eastAsia="en-GB"/>
        </w:rPr>
        <w:t>fundraises for PSPA or supports in</w:t>
      </w:r>
    </w:p>
    <w:p w14:paraId="5BD0F2F2" w14:textId="1B4A9FD2" w:rsidR="63AEE691" w:rsidRPr="00075AC5" w:rsidRDefault="00614766" w:rsidP="00614766">
      <w:pPr>
        <w:spacing w:after="0" w:line="240" w:lineRule="auto"/>
        <w:jc w:val="both"/>
        <w:rPr>
          <w:rFonts w:ascii="Graphik Regular" w:eastAsia="Times New Roman" w:hAnsi="Graphik Regular" w:cs="Arial"/>
          <w:b/>
          <w:bCs/>
          <w:lang w:eastAsia="en-GB"/>
        </w:rPr>
      </w:pPr>
      <w:r w:rsidRPr="00614766">
        <w:rPr>
          <w:rFonts w:ascii="Graphik Regular" w:eastAsia="Times New Roman" w:hAnsi="Graphik Regular" w:cs="Arial"/>
          <w:lang w:eastAsia="en-GB"/>
        </w:rPr>
        <w:t>some way.</w:t>
      </w:r>
      <w:r w:rsidR="00EF394D">
        <w:rPr>
          <w:rFonts w:ascii="Graphik Regular" w:eastAsia="Times New Roman" w:hAnsi="Graphik Regular" w:cs="Arial"/>
          <w:lang w:eastAsia="en-GB"/>
        </w:rPr>
        <w:t xml:space="preserve"> </w:t>
      </w:r>
      <w:r w:rsidR="63AEE691" w:rsidRPr="00075AC5">
        <w:rPr>
          <w:rFonts w:ascii="Graphik Regular" w:eastAsia="Times New Roman" w:hAnsi="Graphik Regular" w:cs="Arial"/>
          <w:lang w:eastAsia="en-GB"/>
        </w:rPr>
        <w:t>Salesforce records them as:</w:t>
      </w:r>
    </w:p>
    <w:p w14:paraId="4CBE6DBC" w14:textId="2E75B980" w:rsidR="28FD1075" w:rsidRPr="00075AC5" w:rsidRDefault="28FD1075" w:rsidP="28FD1075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</w:p>
    <w:p w14:paraId="6140F19E" w14:textId="1B500E23" w:rsidR="63AEE691" w:rsidRPr="00075AC5" w:rsidRDefault="63AEE691" w:rsidP="28FD10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Donors – those who give </w:t>
      </w:r>
      <w:r w:rsidR="00EF394D">
        <w:rPr>
          <w:rFonts w:ascii="Graphik Regular" w:eastAsia="Times New Roman" w:hAnsi="Graphik Regular" w:cs="Arial"/>
          <w:lang w:eastAsia="en-GB"/>
        </w:rPr>
        <w:t>a donation</w:t>
      </w:r>
      <w:r w:rsidRPr="00075AC5">
        <w:rPr>
          <w:rFonts w:ascii="Graphik Regular" w:eastAsia="Times New Roman" w:hAnsi="Graphik Regular" w:cs="Arial"/>
          <w:lang w:eastAsia="en-GB"/>
        </w:rPr>
        <w:t>.</w:t>
      </w:r>
    </w:p>
    <w:p w14:paraId="3D305368" w14:textId="7275E36B" w:rsidR="63AEE691" w:rsidRPr="00075AC5" w:rsidRDefault="63AEE691" w:rsidP="28FD10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>Fundraisers – those who do the fundraising.</w:t>
      </w:r>
    </w:p>
    <w:p w14:paraId="0CCCE747" w14:textId="17499E49" w:rsidR="63AEE691" w:rsidRPr="00075AC5" w:rsidRDefault="63AEE691" w:rsidP="28FD10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raphik Regular" w:hAnsi="Graphik Regular"/>
          <w:lang w:eastAsia="en-GB"/>
        </w:rPr>
      </w:pPr>
      <w:r w:rsidRPr="00075AC5">
        <w:rPr>
          <w:rFonts w:ascii="Graphik Regular" w:eastAsia="Times New Roman" w:hAnsi="Graphik Regular" w:cs="Arial"/>
          <w:lang w:eastAsia="en-GB"/>
        </w:rPr>
        <w:t xml:space="preserve">Supporters – those </w:t>
      </w:r>
      <w:r w:rsidR="00375637" w:rsidRPr="00375637">
        <w:rPr>
          <w:rFonts w:ascii="Graphik Regular" w:eastAsia="Times New Roman" w:hAnsi="Graphik Regular" w:cs="Arial"/>
          <w:lang w:eastAsia="en-GB"/>
        </w:rPr>
        <w:t>who support in other ways for example buying from</w:t>
      </w:r>
      <w:r w:rsidR="00375637">
        <w:rPr>
          <w:rFonts w:ascii="Graphik Regular" w:eastAsia="Times New Roman" w:hAnsi="Graphik Regular" w:cs="Arial"/>
          <w:lang w:eastAsia="en-GB"/>
        </w:rPr>
        <w:t xml:space="preserve"> </w:t>
      </w:r>
      <w:r w:rsidRPr="00075AC5">
        <w:rPr>
          <w:rFonts w:ascii="Graphik Regular" w:eastAsia="Times New Roman" w:hAnsi="Graphik Regular" w:cs="Arial"/>
          <w:lang w:eastAsia="en-GB"/>
        </w:rPr>
        <w:t>the shop.</w:t>
      </w:r>
    </w:p>
    <w:p w14:paraId="060A6269" w14:textId="2F5A7C81" w:rsidR="28FD1075" w:rsidRPr="00075AC5" w:rsidRDefault="28FD1075" w:rsidP="28FD1075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</w:p>
    <w:p w14:paraId="2F45B737" w14:textId="77777777" w:rsidR="00862BEF" w:rsidRPr="00862BEF" w:rsidRDefault="00375637" w:rsidP="00862BEF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  <w:r>
        <w:rPr>
          <w:rFonts w:ascii="Graphik Regular" w:eastAsia="Times New Roman" w:hAnsi="Graphik Regular" w:cs="Arial"/>
          <w:lang w:eastAsia="en-GB"/>
        </w:rPr>
        <w:t xml:space="preserve">Where required, </w:t>
      </w:r>
      <w:r w:rsidR="6F73AF15" w:rsidRPr="00075AC5">
        <w:rPr>
          <w:rFonts w:ascii="Graphik Regular" w:eastAsia="Times New Roman" w:hAnsi="Graphik Regular" w:cs="Arial"/>
          <w:lang w:eastAsia="en-GB"/>
        </w:rPr>
        <w:t xml:space="preserve">data will be anonymised rather than deleted </w:t>
      </w:r>
      <w:proofErr w:type="gramStart"/>
      <w:r w:rsidR="6F73AF15" w:rsidRPr="00075AC5">
        <w:rPr>
          <w:rFonts w:ascii="Graphik Regular" w:eastAsia="Times New Roman" w:hAnsi="Graphik Regular" w:cs="Arial"/>
          <w:lang w:eastAsia="en-GB"/>
        </w:rPr>
        <w:t>in order to</w:t>
      </w:r>
      <w:proofErr w:type="gramEnd"/>
      <w:r w:rsidR="6F73AF15" w:rsidRPr="00075AC5">
        <w:rPr>
          <w:rFonts w:ascii="Graphik Regular" w:eastAsia="Times New Roman" w:hAnsi="Graphik Regular" w:cs="Arial"/>
          <w:lang w:eastAsia="en-GB"/>
        </w:rPr>
        <w:t xml:space="preserve"> maintain a record of the gift so that data can still be analysed beyond six years.</w:t>
      </w:r>
      <w:r w:rsidR="00862BEF">
        <w:rPr>
          <w:rFonts w:ascii="Graphik Regular" w:eastAsia="Times New Roman" w:hAnsi="Graphik Regular" w:cs="Arial"/>
          <w:lang w:eastAsia="en-GB"/>
        </w:rPr>
        <w:t xml:space="preserve"> </w:t>
      </w:r>
      <w:r w:rsidR="00862BEF" w:rsidRPr="00862BEF">
        <w:rPr>
          <w:rFonts w:ascii="Graphik Regular" w:eastAsia="Times New Roman" w:hAnsi="Graphik Regular" w:cs="Arial"/>
          <w:lang w:eastAsia="en-GB"/>
        </w:rPr>
        <w:t xml:space="preserve">Records </w:t>
      </w:r>
      <w:proofErr w:type="gramStart"/>
      <w:r w:rsidR="00862BEF" w:rsidRPr="00862BEF">
        <w:rPr>
          <w:rFonts w:ascii="Graphik Regular" w:eastAsia="Times New Roman" w:hAnsi="Graphik Regular" w:cs="Arial"/>
          <w:lang w:eastAsia="en-GB"/>
        </w:rPr>
        <w:t>where</w:t>
      </w:r>
      <w:proofErr w:type="gramEnd"/>
      <w:r w:rsidR="00862BEF" w:rsidRPr="00862BEF">
        <w:rPr>
          <w:rFonts w:ascii="Graphik Regular" w:eastAsia="Times New Roman" w:hAnsi="Graphik Regular" w:cs="Arial"/>
          <w:lang w:eastAsia="en-GB"/>
        </w:rPr>
        <w:t xml:space="preserve"> no</w:t>
      </w:r>
    </w:p>
    <w:p w14:paraId="20927D2B" w14:textId="77777777" w:rsidR="00862BEF" w:rsidRDefault="00862BEF" w:rsidP="00862BEF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  <w:r w:rsidRPr="00862BEF">
        <w:rPr>
          <w:rFonts w:ascii="Graphik Regular" w:eastAsia="Times New Roman" w:hAnsi="Graphik Regular" w:cs="Arial"/>
          <w:lang w:eastAsia="en-GB"/>
        </w:rPr>
        <w:t>gifts are recorded will be deleted rather than anonymised.</w:t>
      </w:r>
    </w:p>
    <w:p w14:paraId="2B781123" w14:textId="77777777" w:rsidR="00862BEF" w:rsidRPr="00862BEF" w:rsidRDefault="00862BEF" w:rsidP="00862BEF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</w:p>
    <w:p w14:paraId="2ED89956" w14:textId="77777777" w:rsidR="00862BEF" w:rsidRPr="00862BEF" w:rsidRDefault="00862BEF" w:rsidP="00862BEF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  <w:r w:rsidRPr="00862BEF">
        <w:rPr>
          <w:rFonts w:ascii="Graphik Regular" w:eastAsia="Times New Roman" w:hAnsi="Graphik Regular" w:cs="Arial"/>
          <w:lang w:eastAsia="en-GB"/>
        </w:rPr>
        <w:t>We recognise that supporters on our database may also be service users and as such</w:t>
      </w:r>
    </w:p>
    <w:p w14:paraId="467F535B" w14:textId="77777777" w:rsidR="00862BEF" w:rsidRPr="00862BEF" w:rsidRDefault="00862BEF" w:rsidP="00862BEF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  <w:r w:rsidRPr="00862BEF">
        <w:rPr>
          <w:rFonts w:ascii="Graphik Regular" w:eastAsia="Times New Roman" w:hAnsi="Graphik Regular" w:cs="Arial"/>
          <w:lang w:eastAsia="en-GB"/>
        </w:rPr>
        <w:t>their data must be retained accordingly. If an individual is or was also a carer/family</w:t>
      </w:r>
    </w:p>
    <w:p w14:paraId="1DAD9F1B" w14:textId="77777777" w:rsidR="00862BEF" w:rsidRPr="00862BEF" w:rsidRDefault="00862BEF" w:rsidP="00862BEF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  <w:r w:rsidRPr="00862BEF">
        <w:rPr>
          <w:rFonts w:ascii="Graphik Regular" w:eastAsia="Times New Roman" w:hAnsi="Graphik Regular" w:cs="Arial"/>
          <w:lang w:eastAsia="en-GB"/>
        </w:rPr>
        <w:t>member, or person with CBD/PSP the retention periods set for that criteria must also be</w:t>
      </w:r>
    </w:p>
    <w:p w14:paraId="6FC06AB2" w14:textId="28BD8881" w:rsidR="75A566BB" w:rsidRPr="00075AC5" w:rsidRDefault="00862BEF" w:rsidP="00862BEF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  <w:r w:rsidRPr="00862BEF">
        <w:rPr>
          <w:rFonts w:ascii="Graphik Regular" w:eastAsia="Times New Roman" w:hAnsi="Graphik Regular" w:cs="Arial"/>
          <w:lang w:eastAsia="en-GB"/>
        </w:rPr>
        <w:t>adhered to. In such circumstances the longer retention period in all cases must be used.</w:t>
      </w:r>
    </w:p>
    <w:p w14:paraId="0A4E8F68" w14:textId="4F197674" w:rsidR="28FD1075" w:rsidRPr="00075AC5" w:rsidRDefault="28FD1075" w:rsidP="28FD1075">
      <w:pPr>
        <w:spacing w:after="0" w:line="240" w:lineRule="auto"/>
        <w:jc w:val="both"/>
        <w:rPr>
          <w:rFonts w:ascii="Graphik Regular" w:eastAsia="Times New Roman" w:hAnsi="Graphik Regular" w:cs="Arial"/>
          <w:lang w:eastAsia="en-GB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3397"/>
        <w:gridCol w:w="3402"/>
        <w:gridCol w:w="2977"/>
      </w:tblGrid>
      <w:tr w:rsidR="00C348A4" w:rsidRPr="00075AC5" w14:paraId="45C288F9" w14:textId="77777777" w:rsidTr="69B45D1A">
        <w:tc>
          <w:tcPr>
            <w:tcW w:w="3397" w:type="dxa"/>
          </w:tcPr>
          <w:p w14:paraId="765BE7C8" w14:textId="77777777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bookmarkStart w:id="0" w:name="_Hlk111646808"/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3402" w:type="dxa"/>
          </w:tcPr>
          <w:p w14:paraId="3ED7DE04" w14:textId="77777777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Retention period</w:t>
            </w:r>
          </w:p>
        </w:tc>
        <w:tc>
          <w:tcPr>
            <w:tcW w:w="2977" w:type="dxa"/>
          </w:tcPr>
          <w:p w14:paraId="7A6D0AC1" w14:textId="71AF62C0" w:rsidR="00C348A4" w:rsidRPr="00075AC5" w:rsidRDefault="03B9ACE7" w:rsidP="00775EE7">
            <w:pPr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B</w:t>
            </w:r>
            <w:r w:rsidR="00C348A4"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asis for retention</w:t>
            </w:r>
          </w:p>
          <w:p w14:paraId="44427D02" w14:textId="77777777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C348A4" w:rsidRPr="00075AC5" w14:paraId="56505A7A" w14:textId="77777777" w:rsidTr="69B45D1A">
        <w:tc>
          <w:tcPr>
            <w:tcW w:w="3397" w:type="dxa"/>
          </w:tcPr>
          <w:p w14:paraId="73823647" w14:textId="46F811F8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Supporter data with a gift recorded</w:t>
            </w:r>
          </w:p>
          <w:p w14:paraId="498FEC58" w14:textId="495DCFEC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64004969" w14:textId="77777777" w:rsidR="00862BEF" w:rsidRPr="00862BEF" w:rsidRDefault="000D4639" w:rsidP="00862BEF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62BEF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lastRenderedPageBreak/>
              <w:t xml:space="preserve">6 years from the last recorded gift. </w:t>
            </w:r>
            <w:r w:rsidR="00862BEF" w:rsidRPr="00862BEF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Unless a legacy pledge</w:t>
            </w:r>
          </w:p>
          <w:p w14:paraId="7A0D1F2D" w14:textId="77777777" w:rsidR="00862BEF" w:rsidRPr="00862BEF" w:rsidRDefault="00862BEF" w:rsidP="00862BEF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62BEF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lastRenderedPageBreak/>
              <w:t>recorded, or the individual is a</w:t>
            </w:r>
          </w:p>
          <w:p w14:paraId="6471FFF9" w14:textId="77777777" w:rsidR="00862BEF" w:rsidRPr="00862BEF" w:rsidRDefault="00862BEF" w:rsidP="00862BEF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62BEF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family member with more</w:t>
            </w:r>
          </w:p>
          <w:p w14:paraId="0475F2C4" w14:textId="77777777" w:rsidR="00862BEF" w:rsidRPr="00862BEF" w:rsidRDefault="00862BEF" w:rsidP="00862BEF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62BEF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recent interaction, or a person</w:t>
            </w:r>
          </w:p>
          <w:p w14:paraId="316ABF97" w14:textId="3BEEED9E" w:rsidR="00C348A4" w:rsidRPr="00075AC5" w:rsidRDefault="00862BEF" w:rsidP="00862BEF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862BEF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with PSP/CBD</w:t>
            </w:r>
          </w:p>
        </w:tc>
        <w:tc>
          <w:tcPr>
            <w:tcW w:w="2977" w:type="dxa"/>
          </w:tcPr>
          <w:p w14:paraId="6744D29A" w14:textId="260E5AA4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lastRenderedPageBreak/>
              <w:t>Legitimate interest</w:t>
            </w:r>
          </w:p>
        </w:tc>
      </w:tr>
      <w:tr w:rsidR="00C348A4" w:rsidRPr="00075AC5" w14:paraId="08F05264" w14:textId="77777777" w:rsidTr="69B45D1A">
        <w:tc>
          <w:tcPr>
            <w:tcW w:w="3397" w:type="dxa"/>
          </w:tcPr>
          <w:p w14:paraId="29C0932F" w14:textId="37AF8E67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Supporter data with no gift recorded</w:t>
            </w:r>
          </w:p>
          <w:p w14:paraId="51504211" w14:textId="2DE06588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12747A10" w14:textId="77777777" w:rsidR="006013E1" w:rsidRPr="006013E1" w:rsidRDefault="000D4639" w:rsidP="006013E1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 from having given consent to hold the data.</w:t>
            </w:r>
            <w:r w:rsidR="006013E1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</w:t>
            </w:r>
            <w:r w:rsidR="006013E1" w:rsidRPr="006013E1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Unless a legacy pledge</w:t>
            </w:r>
          </w:p>
          <w:p w14:paraId="197B7734" w14:textId="77777777" w:rsidR="006013E1" w:rsidRPr="006013E1" w:rsidRDefault="006013E1" w:rsidP="006013E1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6013E1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recorded, or the individual is a</w:t>
            </w:r>
          </w:p>
          <w:p w14:paraId="3098D2FE" w14:textId="77777777" w:rsidR="006013E1" w:rsidRPr="006013E1" w:rsidRDefault="006013E1" w:rsidP="006013E1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6013E1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family member with more</w:t>
            </w:r>
          </w:p>
          <w:p w14:paraId="71E33097" w14:textId="77777777" w:rsidR="006013E1" w:rsidRPr="006013E1" w:rsidRDefault="006013E1" w:rsidP="006013E1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6013E1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recent interaction or a person</w:t>
            </w:r>
          </w:p>
          <w:p w14:paraId="0F036869" w14:textId="33CBF449" w:rsidR="000D4639" w:rsidRPr="00075AC5" w:rsidRDefault="006013E1" w:rsidP="006013E1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6013E1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with PSP/CBD</w:t>
            </w:r>
          </w:p>
        </w:tc>
        <w:tc>
          <w:tcPr>
            <w:tcW w:w="2977" w:type="dxa"/>
          </w:tcPr>
          <w:p w14:paraId="132837C6" w14:textId="18F97945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C348A4" w:rsidRPr="00075AC5" w14:paraId="3E36104C" w14:textId="77777777" w:rsidTr="69B45D1A">
        <w:tc>
          <w:tcPr>
            <w:tcW w:w="3397" w:type="dxa"/>
          </w:tcPr>
          <w:p w14:paraId="31740E3B" w14:textId="700F4376" w:rsidR="00C348A4" w:rsidRPr="003C5DA7" w:rsidRDefault="006013E1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C5DA7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Supporter data with a l</w:t>
            </w:r>
            <w:r w:rsidR="685C5BA5" w:rsidRPr="003C5DA7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egacy pledge</w:t>
            </w:r>
            <w:r w:rsidRPr="003C5DA7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recorded</w:t>
            </w:r>
          </w:p>
        </w:tc>
        <w:tc>
          <w:tcPr>
            <w:tcW w:w="3402" w:type="dxa"/>
          </w:tcPr>
          <w:p w14:paraId="7CD72FE6" w14:textId="761E99C0" w:rsidR="00C348A4" w:rsidRPr="003C5DA7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C5DA7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10 years after supporter death is notified</w:t>
            </w:r>
            <w:r w:rsidR="004E3B6F" w:rsidRPr="003C5DA7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.</w:t>
            </w:r>
          </w:p>
          <w:p w14:paraId="4C52B9EF" w14:textId="05D8D1F1" w:rsidR="00C348A4" w:rsidRPr="003C5DA7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1CB3F120" w14:textId="02EBB281" w:rsidR="00C348A4" w:rsidRPr="003C5DA7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C5DA7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C348A4" w:rsidRPr="00075AC5" w14:paraId="5052E3D6" w14:textId="77777777" w:rsidTr="69B45D1A">
        <w:tc>
          <w:tcPr>
            <w:tcW w:w="3397" w:type="dxa"/>
          </w:tcPr>
          <w:p w14:paraId="149C99E3" w14:textId="77777777" w:rsidR="008A5E7D" w:rsidRPr="008A5E7D" w:rsidRDefault="008A5E7D" w:rsidP="008A5E7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A5E7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Deceased supporters whose</w:t>
            </w:r>
          </w:p>
          <w:p w14:paraId="56C8551B" w14:textId="77777777" w:rsidR="008A5E7D" w:rsidRPr="008A5E7D" w:rsidRDefault="008A5E7D" w:rsidP="008A5E7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A5E7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family continue to donate in</w:t>
            </w:r>
          </w:p>
          <w:p w14:paraId="5E75DD20" w14:textId="77777777" w:rsidR="008A5E7D" w:rsidRPr="008A5E7D" w:rsidRDefault="008A5E7D" w:rsidP="008A5E7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A5E7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their memory (the donation is</w:t>
            </w:r>
          </w:p>
          <w:p w14:paraId="6AB0F92D" w14:textId="77777777" w:rsidR="008A5E7D" w:rsidRPr="008A5E7D" w:rsidRDefault="008A5E7D" w:rsidP="008A5E7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A5E7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soft credited to the</w:t>
            </w:r>
          </w:p>
          <w:p w14:paraId="3B1C0BE0" w14:textId="22542A69" w:rsidR="00C348A4" w:rsidRPr="003C5DA7" w:rsidRDefault="008A5E7D" w:rsidP="008A5E7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C5DA7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deceased’s supporter record)</w:t>
            </w:r>
          </w:p>
        </w:tc>
        <w:tc>
          <w:tcPr>
            <w:tcW w:w="3402" w:type="dxa"/>
          </w:tcPr>
          <w:p w14:paraId="7C22C15C" w14:textId="77777777" w:rsidR="008A5E7D" w:rsidRPr="008A5E7D" w:rsidRDefault="008A5E7D" w:rsidP="008A5E7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A5E7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6 years from the last recorded</w:t>
            </w:r>
          </w:p>
          <w:p w14:paraId="5C60D9BC" w14:textId="77777777" w:rsidR="008A5E7D" w:rsidRPr="008A5E7D" w:rsidRDefault="008A5E7D" w:rsidP="008A5E7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A5E7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gift. Unless a legacy pledge or</w:t>
            </w:r>
          </w:p>
          <w:p w14:paraId="0A8DF01F" w14:textId="77777777" w:rsidR="008A5E7D" w:rsidRPr="008A5E7D" w:rsidRDefault="008A5E7D" w:rsidP="008A5E7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A5E7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notification recorded, or the</w:t>
            </w:r>
          </w:p>
          <w:p w14:paraId="02417B2E" w14:textId="77777777" w:rsidR="008A5E7D" w:rsidRPr="008A5E7D" w:rsidRDefault="008A5E7D" w:rsidP="008A5E7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A5E7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individual was also a family</w:t>
            </w:r>
          </w:p>
          <w:p w14:paraId="251F43BE" w14:textId="77777777" w:rsidR="008A5E7D" w:rsidRPr="008A5E7D" w:rsidRDefault="008A5E7D" w:rsidP="008A5E7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8A5E7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member, or a person with</w:t>
            </w:r>
          </w:p>
          <w:p w14:paraId="3E00692A" w14:textId="3B769410" w:rsidR="004E3B6F" w:rsidRPr="003C5DA7" w:rsidRDefault="008A5E7D" w:rsidP="008A5E7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C5DA7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PSP/CBD</w:t>
            </w:r>
          </w:p>
        </w:tc>
        <w:tc>
          <w:tcPr>
            <w:tcW w:w="2977" w:type="dxa"/>
          </w:tcPr>
          <w:p w14:paraId="1CC1C297" w14:textId="44B2C24C" w:rsidR="00C348A4" w:rsidRPr="003C5DA7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C5DA7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8A5E7D" w:rsidRPr="00075AC5" w14:paraId="620C63D1" w14:textId="77777777" w:rsidTr="69B45D1A">
        <w:tc>
          <w:tcPr>
            <w:tcW w:w="3397" w:type="dxa"/>
          </w:tcPr>
          <w:p w14:paraId="1A76BB13" w14:textId="77777777" w:rsidR="003C5DA7" w:rsidRPr="003C5DA7" w:rsidRDefault="003C5DA7" w:rsidP="003C5DA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3C5DA7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Supporter data with a legacy</w:t>
            </w:r>
          </w:p>
          <w:p w14:paraId="764DDD47" w14:textId="57F37E60" w:rsidR="008A5E7D" w:rsidRPr="003C5DA7" w:rsidRDefault="003C5DA7" w:rsidP="003C5DA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C5DA7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notification recorded</w:t>
            </w:r>
          </w:p>
        </w:tc>
        <w:tc>
          <w:tcPr>
            <w:tcW w:w="3402" w:type="dxa"/>
          </w:tcPr>
          <w:p w14:paraId="5B8E7F1C" w14:textId="77777777" w:rsidR="003C5DA7" w:rsidRPr="003C5DA7" w:rsidRDefault="003C5DA7" w:rsidP="003C5DA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3C5DA7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6 years from receipt of final</w:t>
            </w:r>
          </w:p>
          <w:p w14:paraId="242EF11E" w14:textId="04AF40B3" w:rsidR="008A5E7D" w:rsidRPr="003C5DA7" w:rsidRDefault="003C5DA7" w:rsidP="003C5DA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C5DA7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legacy gift</w:t>
            </w:r>
          </w:p>
        </w:tc>
        <w:tc>
          <w:tcPr>
            <w:tcW w:w="2977" w:type="dxa"/>
          </w:tcPr>
          <w:p w14:paraId="37E4DD59" w14:textId="561A4E55" w:rsidR="008A5E7D" w:rsidRPr="003C5DA7" w:rsidRDefault="003C5DA7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3C5DA7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C348A4" w:rsidRPr="00075AC5" w14:paraId="06F667D9" w14:textId="77777777" w:rsidTr="69B45D1A">
        <w:tc>
          <w:tcPr>
            <w:tcW w:w="3397" w:type="dxa"/>
          </w:tcPr>
          <w:p w14:paraId="033CC68D" w14:textId="492C6702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Complaints</w:t>
            </w:r>
          </w:p>
          <w:p w14:paraId="16FB5F70" w14:textId="4B32C802" w:rsidR="00C348A4" w:rsidRPr="00075AC5" w:rsidRDefault="00C348A4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579A9574" w14:textId="5C0CB154" w:rsidR="00C348A4" w:rsidRPr="00075AC5" w:rsidRDefault="000D4639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6 years after the last transaction, and then anonymise</w:t>
            </w:r>
            <w:r w:rsidR="00F927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d</w:t>
            </w: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in a complaints log.</w:t>
            </w:r>
          </w:p>
        </w:tc>
        <w:tc>
          <w:tcPr>
            <w:tcW w:w="2977" w:type="dxa"/>
          </w:tcPr>
          <w:p w14:paraId="606467FE" w14:textId="51A173A8" w:rsidR="00C348A4" w:rsidRPr="00075AC5" w:rsidRDefault="685C5BA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bookmarkEnd w:id="0"/>
    </w:tbl>
    <w:p w14:paraId="784E7E9B" w14:textId="189E9BF1" w:rsidR="00C348A4" w:rsidRPr="00075AC5" w:rsidRDefault="00C348A4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p w14:paraId="568C202A" w14:textId="77777777" w:rsidR="00354112" w:rsidRDefault="00354112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b/>
          <w:bCs/>
          <w:lang w:eastAsia="en-GB"/>
        </w:rPr>
      </w:pPr>
    </w:p>
    <w:p w14:paraId="17D118FC" w14:textId="7B01811C" w:rsidR="00BC437B" w:rsidRPr="00354112" w:rsidRDefault="00BC437B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</w:pPr>
      <w:r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>Volunteers and Service Users</w:t>
      </w:r>
      <w:r w:rsidR="23F0BB98" w:rsidRPr="00354112">
        <w:rPr>
          <w:rFonts w:ascii="Graphik Regular" w:eastAsia="Times New Roman" w:hAnsi="Graphik Regular" w:cs="Arial"/>
          <w:b/>
          <w:bCs/>
          <w:color w:val="F25F4D" w:themeColor="accent2"/>
          <w:sz w:val="24"/>
          <w:szCs w:val="24"/>
          <w:lang w:eastAsia="en-GB"/>
        </w:rPr>
        <w:t xml:space="preserve"> – Director of Engagement</w:t>
      </w:r>
    </w:p>
    <w:p w14:paraId="71EEC467" w14:textId="6FF18EDD" w:rsidR="00BC437B" w:rsidRPr="00075AC5" w:rsidRDefault="00BC437B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3397"/>
        <w:gridCol w:w="3402"/>
        <w:gridCol w:w="2977"/>
      </w:tblGrid>
      <w:tr w:rsidR="00BC437B" w:rsidRPr="00075AC5" w14:paraId="1BBCF7F8" w14:textId="77777777" w:rsidTr="709A4A40">
        <w:tc>
          <w:tcPr>
            <w:tcW w:w="3397" w:type="dxa"/>
          </w:tcPr>
          <w:p w14:paraId="6D069A76" w14:textId="77777777" w:rsidR="00BC437B" w:rsidRPr="00075AC5" w:rsidRDefault="00BC437B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3402" w:type="dxa"/>
          </w:tcPr>
          <w:p w14:paraId="3160942F" w14:textId="77777777" w:rsidR="00BC437B" w:rsidRPr="00075AC5" w:rsidRDefault="00BC437B" w:rsidP="00775EE7">
            <w:pPr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Retention period</w:t>
            </w:r>
          </w:p>
        </w:tc>
        <w:tc>
          <w:tcPr>
            <w:tcW w:w="2977" w:type="dxa"/>
          </w:tcPr>
          <w:p w14:paraId="61219787" w14:textId="57A7AB95" w:rsidR="00BC437B" w:rsidRPr="00075AC5" w:rsidRDefault="065D6E83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B</w:t>
            </w:r>
            <w:r w:rsidR="00BC437B" w:rsidRPr="00075AC5"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  <w:t>asis for retention</w:t>
            </w:r>
          </w:p>
          <w:p w14:paraId="60BF08AE" w14:textId="77777777" w:rsidR="00BC437B" w:rsidRPr="00075AC5" w:rsidRDefault="00BC437B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BC437B" w:rsidRPr="00075AC5" w14:paraId="301E836A" w14:textId="77777777" w:rsidTr="709A4A40">
        <w:tc>
          <w:tcPr>
            <w:tcW w:w="3397" w:type="dxa"/>
          </w:tcPr>
          <w:p w14:paraId="3B81A921" w14:textId="2CDC1102" w:rsidR="00BC437B" w:rsidRPr="00075AC5" w:rsidRDefault="685C5BA5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Volunteer records</w:t>
            </w:r>
          </w:p>
        </w:tc>
        <w:tc>
          <w:tcPr>
            <w:tcW w:w="3402" w:type="dxa"/>
          </w:tcPr>
          <w:p w14:paraId="2DFA8A40" w14:textId="3BB9DBBF" w:rsidR="00BC437B" w:rsidRPr="00075AC5" w:rsidRDefault="00F927C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3</w:t>
            </w:r>
            <w:r w:rsidR="00BD22FA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years</w:t>
            </w:r>
            <w:r w:rsidR="00775EE7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after they stop volunteering</w:t>
            </w:r>
            <w:r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, 1 year if not successful.</w:t>
            </w:r>
          </w:p>
          <w:p w14:paraId="78422E20" w14:textId="6C1D4778" w:rsidR="00BC437B" w:rsidRPr="00075AC5" w:rsidRDefault="00BC437B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</w:tcPr>
          <w:p w14:paraId="1DF08B58" w14:textId="3BF29211" w:rsidR="00BC437B" w:rsidRPr="00075AC5" w:rsidRDefault="685C5BA5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BC437B" w:rsidRPr="00075AC5" w14:paraId="3E70B620" w14:textId="77777777" w:rsidTr="709A4A40">
        <w:tc>
          <w:tcPr>
            <w:tcW w:w="3397" w:type="dxa"/>
          </w:tcPr>
          <w:p w14:paraId="188AB3CD" w14:textId="738E5C10" w:rsidR="00BC437B" w:rsidRPr="00075AC5" w:rsidRDefault="685C5BA5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Carers and family members</w:t>
            </w:r>
          </w:p>
          <w:p w14:paraId="1DA4482F" w14:textId="6303DE68" w:rsidR="00BC437B" w:rsidRPr="00075AC5" w:rsidRDefault="00BC437B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70B596B2" w14:textId="78D41E13" w:rsidR="0073130D" w:rsidRPr="0073130D" w:rsidRDefault="00F927C5" w:rsidP="0073130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73130D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7</w:t>
            </w:r>
            <w:r w:rsidR="00BD22FA" w:rsidRPr="0073130D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years</w:t>
            </w:r>
            <w:r w:rsidR="00775EE7" w:rsidRPr="0073130D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after the last contact</w:t>
            </w:r>
            <w:r w:rsidR="0073130D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</w:t>
            </w:r>
            <w:r w:rsidR="0073130D" w:rsidRPr="0073130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if there is a financial donation</w:t>
            </w:r>
          </w:p>
          <w:p w14:paraId="01632C4B" w14:textId="77777777" w:rsidR="0073130D" w:rsidRPr="0073130D" w:rsidRDefault="0073130D" w:rsidP="0073130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</w:pPr>
            <w:r w:rsidRPr="0073130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on the record.</w:t>
            </w:r>
          </w:p>
          <w:p w14:paraId="42720246" w14:textId="54A6F603" w:rsidR="00BC437B" w:rsidRPr="00075AC5" w:rsidRDefault="0073130D" w:rsidP="0073130D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73130D">
              <w:rPr>
                <w:rFonts w:ascii="Graphik Regular" w:eastAsia="Times New Roman" w:hAnsi="Graphik Regular" w:cs="Arial"/>
                <w:sz w:val="22"/>
                <w:szCs w:val="22"/>
                <w:lang w:val="en-GB" w:eastAsia="en-GB"/>
              </w:rPr>
              <w:t>No donation then 3 years</w:t>
            </w:r>
          </w:p>
        </w:tc>
        <w:tc>
          <w:tcPr>
            <w:tcW w:w="2977" w:type="dxa"/>
          </w:tcPr>
          <w:p w14:paraId="2ACE110C" w14:textId="770768D7" w:rsidR="00BC437B" w:rsidRPr="00075AC5" w:rsidRDefault="685C5BA5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BC437B" w:rsidRPr="00075AC5" w14:paraId="3B83D52A" w14:textId="77777777" w:rsidTr="709A4A40">
        <w:tc>
          <w:tcPr>
            <w:tcW w:w="3397" w:type="dxa"/>
          </w:tcPr>
          <w:p w14:paraId="43A60CB7" w14:textId="61D1DD84" w:rsidR="00BC437B" w:rsidRPr="00075AC5" w:rsidRDefault="685C5BA5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People with PSP/CBD</w:t>
            </w:r>
          </w:p>
          <w:p w14:paraId="0507CF62" w14:textId="63845FD0" w:rsidR="00BC437B" w:rsidRPr="00075AC5" w:rsidRDefault="00BC437B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</w:tcPr>
          <w:p w14:paraId="17AB8958" w14:textId="1437D8B6" w:rsidR="00BC437B" w:rsidRPr="00075AC5" w:rsidRDefault="2AFB1C75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Indefinitely</w:t>
            </w:r>
            <w:r w:rsidR="6B5E80E1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(for research purposes)</w:t>
            </w:r>
          </w:p>
        </w:tc>
        <w:tc>
          <w:tcPr>
            <w:tcW w:w="2977" w:type="dxa"/>
          </w:tcPr>
          <w:p w14:paraId="2AC0A4ED" w14:textId="57D1993A" w:rsidR="00BC437B" w:rsidRPr="00075AC5" w:rsidRDefault="685C5BA5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Legitimate interest</w:t>
            </w:r>
          </w:p>
        </w:tc>
      </w:tr>
      <w:tr w:rsidR="00BC437B" w:rsidRPr="00075AC5" w14:paraId="122155F2" w14:textId="77777777" w:rsidTr="709A4A40">
        <w:tc>
          <w:tcPr>
            <w:tcW w:w="3397" w:type="dxa"/>
          </w:tcPr>
          <w:p w14:paraId="4B958785" w14:textId="4F3B4CD2" w:rsidR="00BC437B" w:rsidRPr="00075AC5" w:rsidRDefault="685C5BA5" w:rsidP="28FD1075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Case studies</w:t>
            </w:r>
            <w:r w:rsidR="22C2946D" w:rsidRPr="00075AC5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 xml:space="preserve"> and photographs</w:t>
            </w:r>
          </w:p>
        </w:tc>
        <w:tc>
          <w:tcPr>
            <w:tcW w:w="3402" w:type="dxa"/>
          </w:tcPr>
          <w:p w14:paraId="427CDC4C" w14:textId="753CB5E8" w:rsidR="00BC437B" w:rsidRPr="00075AC5" w:rsidRDefault="22C2946D" w:rsidP="00775EE7">
            <w:pPr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  <w:r w:rsidRPr="709A4A40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When consent is withdrawn</w:t>
            </w:r>
            <w:r w:rsidR="07237D8A" w:rsidRPr="709A4A40"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  <w:t>. If someone has died, permission will be sought from their family to continue to use case studies and photographs.</w:t>
            </w:r>
          </w:p>
        </w:tc>
        <w:tc>
          <w:tcPr>
            <w:tcW w:w="2977" w:type="dxa"/>
          </w:tcPr>
          <w:p w14:paraId="4B1C276D" w14:textId="77777777" w:rsidR="00BC437B" w:rsidRPr="00075AC5" w:rsidRDefault="00BC437B" w:rsidP="00934591">
            <w:pPr>
              <w:jc w:val="both"/>
              <w:textAlignment w:val="baseline"/>
              <w:rPr>
                <w:rFonts w:ascii="Graphik Regular" w:eastAsia="Times New Roman" w:hAnsi="Graphik Regular" w:cs="Arial"/>
                <w:sz w:val="22"/>
                <w:szCs w:val="22"/>
                <w:lang w:eastAsia="en-GB"/>
              </w:rPr>
            </w:pPr>
          </w:p>
        </w:tc>
      </w:tr>
    </w:tbl>
    <w:p w14:paraId="4E6ABC8F" w14:textId="27B8381B" w:rsidR="28FD1075" w:rsidRPr="00075AC5" w:rsidRDefault="28FD1075">
      <w:pPr>
        <w:rPr>
          <w:rFonts w:ascii="Graphik Regular" w:hAnsi="Graphik Regular"/>
          <w:sz w:val="20"/>
          <w:szCs w:val="20"/>
        </w:rPr>
      </w:pPr>
    </w:p>
    <w:p w14:paraId="2102A069" w14:textId="77777777" w:rsidR="00BC437B" w:rsidRPr="00075AC5" w:rsidRDefault="00BC437B" w:rsidP="00834FC6">
      <w:pPr>
        <w:spacing w:after="0" w:line="240" w:lineRule="auto"/>
        <w:jc w:val="both"/>
        <w:textAlignment w:val="baseline"/>
        <w:rPr>
          <w:rFonts w:ascii="Graphik Regular" w:eastAsia="Times New Roman" w:hAnsi="Graphik Regular" w:cs="Arial"/>
          <w:lang w:eastAsia="en-GB"/>
        </w:rPr>
      </w:pPr>
    </w:p>
    <w:sectPr w:rsidR="00BC437B" w:rsidRPr="00075AC5" w:rsidSect="00367E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4F2D" w14:textId="77777777" w:rsidR="00354D8A" w:rsidRDefault="00354D8A" w:rsidP="00564A46">
      <w:pPr>
        <w:spacing w:after="0" w:line="240" w:lineRule="auto"/>
      </w:pPr>
      <w:r>
        <w:separator/>
      </w:r>
    </w:p>
  </w:endnote>
  <w:endnote w:type="continuationSeparator" w:id="0">
    <w:p w14:paraId="3D531047" w14:textId="77777777" w:rsidR="00354D8A" w:rsidRDefault="00354D8A" w:rsidP="00564A46">
      <w:pPr>
        <w:spacing w:after="0" w:line="240" w:lineRule="auto"/>
      </w:pPr>
      <w:r>
        <w:continuationSeparator/>
      </w:r>
    </w:p>
  </w:endnote>
  <w:endnote w:type="continuationNotice" w:id="1">
    <w:p w14:paraId="5A345B26" w14:textId="77777777" w:rsidR="00354D8A" w:rsidRDefault="00354D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22B5" w14:textId="77777777" w:rsidR="00F818F1" w:rsidRDefault="00F81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34AE" w14:textId="15DAC5FD" w:rsidR="00564A46" w:rsidRDefault="00883ED3" w:rsidP="00564A46">
    <w:pPr>
      <w:pStyle w:val="Footer"/>
      <w:jc w:val="right"/>
    </w:pPr>
    <w:r>
      <w:t>May</w:t>
    </w:r>
    <w:r w:rsidR="00A055D8">
      <w:t xml:space="preserve"> 202</w:t>
    </w:r>
    <w: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87E9" w14:textId="77777777" w:rsidR="00F818F1" w:rsidRDefault="00F81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04D2" w14:textId="77777777" w:rsidR="00354D8A" w:rsidRDefault="00354D8A" w:rsidP="00564A46">
      <w:pPr>
        <w:spacing w:after="0" w:line="240" w:lineRule="auto"/>
      </w:pPr>
      <w:r>
        <w:separator/>
      </w:r>
    </w:p>
  </w:footnote>
  <w:footnote w:type="continuationSeparator" w:id="0">
    <w:p w14:paraId="099F524F" w14:textId="77777777" w:rsidR="00354D8A" w:rsidRDefault="00354D8A" w:rsidP="00564A46">
      <w:pPr>
        <w:spacing w:after="0" w:line="240" w:lineRule="auto"/>
      </w:pPr>
      <w:r>
        <w:continuationSeparator/>
      </w:r>
    </w:p>
  </w:footnote>
  <w:footnote w:type="continuationNotice" w:id="1">
    <w:p w14:paraId="7620513A" w14:textId="77777777" w:rsidR="00354D8A" w:rsidRDefault="00354D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779F" w14:textId="6C9005B2" w:rsidR="00864A98" w:rsidRDefault="00864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9DC4" w14:textId="6C3764C3" w:rsidR="00864A98" w:rsidRDefault="00864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3F8" w14:textId="14BB3294" w:rsidR="00864A98" w:rsidRDefault="00864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491"/>
    <w:multiLevelType w:val="multilevel"/>
    <w:tmpl w:val="BA3E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A1FAC"/>
        <w:sz w:val="24"/>
        <w:szCs w:val="3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208FA"/>
    <w:multiLevelType w:val="hybridMultilevel"/>
    <w:tmpl w:val="3D9CFD62"/>
    <w:lvl w:ilvl="0" w:tplc="3EB2B6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A1FA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C769F"/>
    <w:multiLevelType w:val="multilevel"/>
    <w:tmpl w:val="09B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2624D1"/>
    <w:multiLevelType w:val="hybridMultilevel"/>
    <w:tmpl w:val="6E1CCBA8"/>
    <w:lvl w:ilvl="0" w:tplc="93C2244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5A1FA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A6918"/>
    <w:multiLevelType w:val="hybridMultilevel"/>
    <w:tmpl w:val="1C20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EAFB8"/>
    <w:multiLevelType w:val="hybridMultilevel"/>
    <w:tmpl w:val="E5824C22"/>
    <w:lvl w:ilvl="0" w:tplc="3844E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4C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06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6B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63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20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26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80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29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40734"/>
    <w:multiLevelType w:val="hybridMultilevel"/>
    <w:tmpl w:val="E084AC04"/>
    <w:lvl w:ilvl="0" w:tplc="95BE0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00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25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4D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EA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BC8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CA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C1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29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EF1BD"/>
    <w:multiLevelType w:val="hybridMultilevel"/>
    <w:tmpl w:val="AE4AE6F6"/>
    <w:lvl w:ilvl="0" w:tplc="2020B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0F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E1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8E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7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C0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8B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61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43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839EE"/>
    <w:multiLevelType w:val="hybridMultilevel"/>
    <w:tmpl w:val="CF126BB0"/>
    <w:lvl w:ilvl="0" w:tplc="CA38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5582"/>
    <w:multiLevelType w:val="hybridMultilevel"/>
    <w:tmpl w:val="75B2C21A"/>
    <w:lvl w:ilvl="0" w:tplc="FF80647E">
      <w:start w:val="1"/>
      <w:numFmt w:val="decimal"/>
      <w:lvlText w:val="%1."/>
      <w:lvlJc w:val="left"/>
      <w:pPr>
        <w:ind w:left="360" w:hanging="360"/>
      </w:pPr>
    </w:lvl>
    <w:lvl w:ilvl="1" w:tplc="BE52C338">
      <w:start w:val="1"/>
      <w:numFmt w:val="lowerLetter"/>
      <w:lvlText w:val="%2."/>
      <w:lvlJc w:val="left"/>
      <w:pPr>
        <w:ind w:left="1080" w:hanging="360"/>
      </w:pPr>
    </w:lvl>
    <w:lvl w:ilvl="2" w:tplc="AF2C9D62">
      <w:start w:val="1"/>
      <w:numFmt w:val="lowerRoman"/>
      <w:lvlText w:val="%3."/>
      <w:lvlJc w:val="right"/>
      <w:pPr>
        <w:ind w:left="1800" w:hanging="180"/>
      </w:pPr>
    </w:lvl>
    <w:lvl w:ilvl="3" w:tplc="3514D056">
      <w:start w:val="1"/>
      <w:numFmt w:val="decimal"/>
      <w:lvlText w:val="%4."/>
      <w:lvlJc w:val="left"/>
      <w:pPr>
        <w:ind w:left="2520" w:hanging="360"/>
      </w:pPr>
    </w:lvl>
    <w:lvl w:ilvl="4" w:tplc="0ED8EF08">
      <w:start w:val="1"/>
      <w:numFmt w:val="lowerLetter"/>
      <w:lvlText w:val="%5."/>
      <w:lvlJc w:val="left"/>
      <w:pPr>
        <w:ind w:left="3240" w:hanging="360"/>
      </w:pPr>
    </w:lvl>
    <w:lvl w:ilvl="5" w:tplc="976A6956">
      <w:start w:val="1"/>
      <w:numFmt w:val="lowerRoman"/>
      <w:lvlText w:val="%6."/>
      <w:lvlJc w:val="right"/>
      <w:pPr>
        <w:ind w:left="3960" w:hanging="180"/>
      </w:pPr>
    </w:lvl>
    <w:lvl w:ilvl="6" w:tplc="7D38373A">
      <w:start w:val="1"/>
      <w:numFmt w:val="decimal"/>
      <w:lvlText w:val="%7."/>
      <w:lvlJc w:val="left"/>
      <w:pPr>
        <w:ind w:left="4680" w:hanging="360"/>
      </w:pPr>
    </w:lvl>
    <w:lvl w:ilvl="7" w:tplc="1CAEA726">
      <w:start w:val="1"/>
      <w:numFmt w:val="lowerLetter"/>
      <w:lvlText w:val="%8."/>
      <w:lvlJc w:val="left"/>
      <w:pPr>
        <w:ind w:left="5400" w:hanging="360"/>
      </w:pPr>
    </w:lvl>
    <w:lvl w:ilvl="8" w:tplc="FD5E892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F11C13"/>
    <w:multiLevelType w:val="hybridMultilevel"/>
    <w:tmpl w:val="B54A54DE"/>
    <w:lvl w:ilvl="0" w:tplc="37262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16B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42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65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47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2C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C7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6C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09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B4073"/>
    <w:multiLevelType w:val="multilevel"/>
    <w:tmpl w:val="990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E252F0"/>
    <w:multiLevelType w:val="multilevel"/>
    <w:tmpl w:val="1C54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DB1528"/>
    <w:multiLevelType w:val="hybridMultilevel"/>
    <w:tmpl w:val="C4768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6414B"/>
    <w:multiLevelType w:val="hybridMultilevel"/>
    <w:tmpl w:val="4D24F58A"/>
    <w:lvl w:ilvl="0" w:tplc="2FCAC4B8">
      <w:start w:val="1"/>
      <w:numFmt w:val="decimal"/>
      <w:lvlText w:val="%1."/>
      <w:lvlJc w:val="left"/>
      <w:pPr>
        <w:ind w:left="720" w:hanging="360"/>
      </w:pPr>
    </w:lvl>
    <w:lvl w:ilvl="1" w:tplc="6DB2C5F0">
      <w:start w:val="1"/>
      <w:numFmt w:val="lowerLetter"/>
      <w:lvlText w:val="%2."/>
      <w:lvlJc w:val="left"/>
      <w:pPr>
        <w:ind w:left="1440" w:hanging="360"/>
      </w:pPr>
    </w:lvl>
    <w:lvl w:ilvl="2" w:tplc="44EA204E">
      <w:start w:val="1"/>
      <w:numFmt w:val="lowerRoman"/>
      <w:lvlText w:val="%3."/>
      <w:lvlJc w:val="right"/>
      <w:pPr>
        <w:ind w:left="2160" w:hanging="180"/>
      </w:pPr>
    </w:lvl>
    <w:lvl w:ilvl="3" w:tplc="B09CF60A">
      <w:start w:val="1"/>
      <w:numFmt w:val="decimal"/>
      <w:lvlText w:val="%4."/>
      <w:lvlJc w:val="left"/>
      <w:pPr>
        <w:ind w:left="2880" w:hanging="360"/>
      </w:pPr>
    </w:lvl>
    <w:lvl w:ilvl="4" w:tplc="6536574C">
      <w:start w:val="1"/>
      <w:numFmt w:val="lowerLetter"/>
      <w:lvlText w:val="%5."/>
      <w:lvlJc w:val="left"/>
      <w:pPr>
        <w:ind w:left="3600" w:hanging="360"/>
      </w:pPr>
    </w:lvl>
    <w:lvl w:ilvl="5" w:tplc="75329B16">
      <w:start w:val="1"/>
      <w:numFmt w:val="lowerRoman"/>
      <w:lvlText w:val="%6."/>
      <w:lvlJc w:val="right"/>
      <w:pPr>
        <w:ind w:left="4320" w:hanging="180"/>
      </w:pPr>
    </w:lvl>
    <w:lvl w:ilvl="6" w:tplc="2418371C">
      <w:start w:val="1"/>
      <w:numFmt w:val="decimal"/>
      <w:lvlText w:val="%7."/>
      <w:lvlJc w:val="left"/>
      <w:pPr>
        <w:ind w:left="5040" w:hanging="360"/>
      </w:pPr>
    </w:lvl>
    <w:lvl w:ilvl="7" w:tplc="92A40FD0">
      <w:start w:val="1"/>
      <w:numFmt w:val="lowerLetter"/>
      <w:lvlText w:val="%8."/>
      <w:lvlJc w:val="left"/>
      <w:pPr>
        <w:ind w:left="5760" w:hanging="360"/>
      </w:pPr>
    </w:lvl>
    <w:lvl w:ilvl="8" w:tplc="E2206E1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3421D"/>
    <w:multiLevelType w:val="hybridMultilevel"/>
    <w:tmpl w:val="2E1C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BE26F"/>
    <w:multiLevelType w:val="hybridMultilevel"/>
    <w:tmpl w:val="0A78032C"/>
    <w:lvl w:ilvl="0" w:tplc="28C0C474">
      <w:start w:val="1"/>
      <w:numFmt w:val="decimal"/>
      <w:lvlText w:val="%1."/>
      <w:lvlJc w:val="left"/>
      <w:pPr>
        <w:ind w:left="720" w:hanging="360"/>
      </w:pPr>
    </w:lvl>
    <w:lvl w:ilvl="1" w:tplc="1DE098AC">
      <w:start w:val="1"/>
      <w:numFmt w:val="lowerLetter"/>
      <w:lvlText w:val="%2."/>
      <w:lvlJc w:val="left"/>
      <w:pPr>
        <w:ind w:left="1440" w:hanging="360"/>
      </w:pPr>
    </w:lvl>
    <w:lvl w:ilvl="2" w:tplc="77D0DA3E">
      <w:start w:val="1"/>
      <w:numFmt w:val="lowerRoman"/>
      <w:lvlText w:val="%3."/>
      <w:lvlJc w:val="right"/>
      <w:pPr>
        <w:ind w:left="2160" w:hanging="180"/>
      </w:pPr>
    </w:lvl>
    <w:lvl w:ilvl="3" w:tplc="3BC8CC58">
      <w:start w:val="1"/>
      <w:numFmt w:val="decimal"/>
      <w:lvlText w:val="%4."/>
      <w:lvlJc w:val="left"/>
      <w:pPr>
        <w:ind w:left="2880" w:hanging="360"/>
      </w:pPr>
    </w:lvl>
    <w:lvl w:ilvl="4" w:tplc="F47869B2">
      <w:start w:val="1"/>
      <w:numFmt w:val="lowerLetter"/>
      <w:lvlText w:val="%5."/>
      <w:lvlJc w:val="left"/>
      <w:pPr>
        <w:ind w:left="3600" w:hanging="360"/>
      </w:pPr>
    </w:lvl>
    <w:lvl w:ilvl="5" w:tplc="60AE7E48">
      <w:start w:val="1"/>
      <w:numFmt w:val="lowerRoman"/>
      <w:lvlText w:val="%6."/>
      <w:lvlJc w:val="right"/>
      <w:pPr>
        <w:ind w:left="4320" w:hanging="180"/>
      </w:pPr>
    </w:lvl>
    <w:lvl w:ilvl="6" w:tplc="318EA2D6">
      <w:start w:val="1"/>
      <w:numFmt w:val="decimal"/>
      <w:lvlText w:val="%7."/>
      <w:lvlJc w:val="left"/>
      <w:pPr>
        <w:ind w:left="5040" w:hanging="360"/>
      </w:pPr>
    </w:lvl>
    <w:lvl w:ilvl="7" w:tplc="6000376E">
      <w:start w:val="1"/>
      <w:numFmt w:val="lowerLetter"/>
      <w:lvlText w:val="%8."/>
      <w:lvlJc w:val="left"/>
      <w:pPr>
        <w:ind w:left="5760" w:hanging="360"/>
      </w:pPr>
    </w:lvl>
    <w:lvl w:ilvl="8" w:tplc="DAA8D792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18809">
    <w:abstractNumId w:val="6"/>
  </w:num>
  <w:num w:numId="2" w16cid:durableId="1054309755">
    <w:abstractNumId w:val="7"/>
  </w:num>
  <w:num w:numId="3" w16cid:durableId="1286156628">
    <w:abstractNumId w:val="5"/>
  </w:num>
  <w:num w:numId="4" w16cid:durableId="2032877608">
    <w:abstractNumId w:val="14"/>
  </w:num>
  <w:num w:numId="5" w16cid:durableId="1668244230">
    <w:abstractNumId w:val="16"/>
  </w:num>
  <w:num w:numId="6" w16cid:durableId="888881117">
    <w:abstractNumId w:val="10"/>
  </w:num>
  <w:num w:numId="7" w16cid:durableId="1721588432">
    <w:abstractNumId w:val="9"/>
  </w:num>
  <w:num w:numId="8" w16cid:durableId="1333989158">
    <w:abstractNumId w:val="12"/>
  </w:num>
  <w:num w:numId="9" w16cid:durableId="1859923896">
    <w:abstractNumId w:val="11"/>
  </w:num>
  <w:num w:numId="10" w16cid:durableId="1813478644">
    <w:abstractNumId w:val="2"/>
  </w:num>
  <w:num w:numId="11" w16cid:durableId="240991710">
    <w:abstractNumId w:val="13"/>
  </w:num>
  <w:num w:numId="12" w16cid:durableId="34934685">
    <w:abstractNumId w:val="1"/>
  </w:num>
  <w:num w:numId="13" w16cid:durableId="732042461">
    <w:abstractNumId w:val="3"/>
  </w:num>
  <w:num w:numId="14" w16cid:durableId="1861358201">
    <w:abstractNumId w:val="0"/>
  </w:num>
  <w:num w:numId="15" w16cid:durableId="1384527975">
    <w:abstractNumId w:val="15"/>
  </w:num>
  <w:num w:numId="16" w16cid:durableId="1441607123">
    <w:abstractNumId w:val="8"/>
  </w:num>
  <w:num w:numId="17" w16cid:durableId="1796213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DE"/>
    <w:rsid w:val="00027759"/>
    <w:rsid w:val="000676ED"/>
    <w:rsid w:val="00075AC5"/>
    <w:rsid w:val="00077967"/>
    <w:rsid w:val="00085DE7"/>
    <w:rsid w:val="000B44AB"/>
    <w:rsid w:val="000B59CB"/>
    <w:rsid w:val="000D080B"/>
    <w:rsid w:val="000D4639"/>
    <w:rsid w:val="000E4416"/>
    <w:rsid w:val="000F491B"/>
    <w:rsid w:val="0010206B"/>
    <w:rsid w:val="00103C46"/>
    <w:rsid w:val="00113B9A"/>
    <w:rsid w:val="0013194E"/>
    <w:rsid w:val="00145956"/>
    <w:rsid w:val="00151E59"/>
    <w:rsid w:val="001552CE"/>
    <w:rsid w:val="001B6ED3"/>
    <w:rsid w:val="001D6FFB"/>
    <w:rsid w:val="001F57B6"/>
    <w:rsid w:val="00203A7B"/>
    <w:rsid w:val="00221B9C"/>
    <w:rsid w:val="00250AA6"/>
    <w:rsid w:val="00276AA3"/>
    <w:rsid w:val="0028447E"/>
    <w:rsid w:val="002C1D35"/>
    <w:rsid w:val="0031447B"/>
    <w:rsid w:val="00354112"/>
    <w:rsid w:val="00354D8A"/>
    <w:rsid w:val="00354F64"/>
    <w:rsid w:val="00356C18"/>
    <w:rsid w:val="0036445E"/>
    <w:rsid w:val="00367E5C"/>
    <w:rsid w:val="00375637"/>
    <w:rsid w:val="00392A29"/>
    <w:rsid w:val="00394562"/>
    <w:rsid w:val="003C5DA7"/>
    <w:rsid w:val="003D2376"/>
    <w:rsid w:val="003D6161"/>
    <w:rsid w:val="003E606C"/>
    <w:rsid w:val="003E622C"/>
    <w:rsid w:val="004062A3"/>
    <w:rsid w:val="00443B16"/>
    <w:rsid w:val="00446858"/>
    <w:rsid w:val="0046556C"/>
    <w:rsid w:val="00465650"/>
    <w:rsid w:val="00492DFF"/>
    <w:rsid w:val="004B37E4"/>
    <w:rsid w:val="004D2296"/>
    <w:rsid w:val="004E3B6F"/>
    <w:rsid w:val="00511A6F"/>
    <w:rsid w:val="005256A4"/>
    <w:rsid w:val="00543419"/>
    <w:rsid w:val="00564A46"/>
    <w:rsid w:val="00587C82"/>
    <w:rsid w:val="005A7CF8"/>
    <w:rsid w:val="005D38A4"/>
    <w:rsid w:val="005FBC94"/>
    <w:rsid w:val="00600D9E"/>
    <w:rsid w:val="006013E1"/>
    <w:rsid w:val="00601846"/>
    <w:rsid w:val="006139DE"/>
    <w:rsid w:val="00614766"/>
    <w:rsid w:val="00615879"/>
    <w:rsid w:val="0062038F"/>
    <w:rsid w:val="00651EEE"/>
    <w:rsid w:val="00674C93"/>
    <w:rsid w:val="0069005A"/>
    <w:rsid w:val="0069126E"/>
    <w:rsid w:val="00696A64"/>
    <w:rsid w:val="006C7876"/>
    <w:rsid w:val="006D3FB9"/>
    <w:rsid w:val="006E06A3"/>
    <w:rsid w:val="006E7342"/>
    <w:rsid w:val="007005E3"/>
    <w:rsid w:val="0072366C"/>
    <w:rsid w:val="0073130D"/>
    <w:rsid w:val="00743F89"/>
    <w:rsid w:val="00775EE7"/>
    <w:rsid w:val="00787E7A"/>
    <w:rsid w:val="007E598D"/>
    <w:rsid w:val="00806E33"/>
    <w:rsid w:val="008219B1"/>
    <w:rsid w:val="00834FC6"/>
    <w:rsid w:val="00842385"/>
    <w:rsid w:val="0086290A"/>
    <w:rsid w:val="00862BEF"/>
    <w:rsid w:val="008632E8"/>
    <w:rsid w:val="00864A98"/>
    <w:rsid w:val="008747C6"/>
    <w:rsid w:val="00883ED3"/>
    <w:rsid w:val="008A5E7D"/>
    <w:rsid w:val="008A77B6"/>
    <w:rsid w:val="008B3431"/>
    <w:rsid w:val="008C0D4D"/>
    <w:rsid w:val="008C3E41"/>
    <w:rsid w:val="009028A8"/>
    <w:rsid w:val="00917FD9"/>
    <w:rsid w:val="00922319"/>
    <w:rsid w:val="00966717"/>
    <w:rsid w:val="00971FC0"/>
    <w:rsid w:val="00994A0D"/>
    <w:rsid w:val="009954D0"/>
    <w:rsid w:val="009B21A9"/>
    <w:rsid w:val="009C3F76"/>
    <w:rsid w:val="009C71B3"/>
    <w:rsid w:val="009D56BD"/>
    <w:rsid w:val="00A04034"/>
    <w:rsid w:val="00A055D8"/>
    <w:rsid w:val="00A12E14"/>
    <w:rsid w:val="00A17439"/>
    <w:rsid w:val="00A44223"/>
    <w:rsid w:val="00A57FA7"/>
    <w:rsid w:val="00A75EAB"/>
    <w:rsid w:val="00A774D4"/>
    <w:rsid w:val="00A80E61"/>
    <w:rsid w:val="00AA668C"/>
    <w:rsid w:val="00AF7125"/>
    <w:rsid w:val="00B65CCB"/>
    <w:rsid w:val="00B81888"/>
    <w:rsid w:val="00BA3F0D"/>
    <w:rsid w:val="00BB0FAB"/>
    <w:rsid w:val="00BB1F7C"/>
    <w:rsid w:val="00BC437B"/>
    <w:rsid w:val="00BC5E4A"/>
    <w:rsid w:val="00BD22FA"/>
    <w:rsid w:val="00BE206D"/>
    <w:rsid w:val="00C01059"/>
    <w:rsid w:val="00C348A4"/>
    <w:rsid w:val="00C40807"/>
    <w:rsid w:val="00C5110B"/>
    <w:rsid w:val="00C62062"/>
    <w:rsid w:val="00C65C8F"/>
    <w:rsid w:val="00C7576C"/>
    <w:rsid w:val="00CA1274"/>
    <w:rsid w:val="00CD0E96"/>
    <w:rsid w:val="00CD14EF"/>
    <w:rsid w:val="00CD5EE4"/>
    <w:rsid w:val="00CE01FE"/>
    <w:rsid w:val="00CF2FBD"/>
    <w:rsid w:val="00D27953"/>
    <w:rsid w:val="00D47BF8"/>
    <w:rsid w:val="00D82406"/>
    <w:rsid w:val="00DB1D4F"/>
    <w:rsid w:val="00DD42D8"/>
    <w:rsid w:val="00DE5255"/>
    <w:rsid w:val="00E06427"/>
    <w:rsid w:val="00E1592B"/>
    <w:rsid w:val="00E5060A"/>
    <w:rsid w:val="00E5170E"/>
    <w:rsid w:val="00E57E78"/>
    <w:rsid w:val="00EA2FB5"/>
    <w:rsid w:val="00EB2144"/>
    <w:rsid w:val="00ED27F0"/>
    <w:rsid w:val="00ED32DC"/>
    <w:rsid w:val="00EE0448"/>
    <w:rsid w:val="00EE23BA"/>
    <w:rsid w:val="00EF394D"/>
    <w:rsid w:val="00F13A49"/>
    <w:rsid w:val="00F50245"/>
    <w:rsid w:val="00F55B7E"/>
    <w:rsid w:val="00F7634E"/>
    <w:rsid w:val="00F818F1"/>
    <w:rsid w:val="00F927C5"/>
    <w:rsid w:val="00FD0959"/>
    <w:rsid w:val="00FE2AAD"/>
    <w:rsid w:val="00FE57C1"/>
    <w:rsid w:val="00FF0EF8"/>
    <w:rsid w:val="03B9ACE7"/>
    <w:rsid w:val="043E3314"/>
    <w:rsid w:val="05B3EE0F"/>
    <w:rsid w:val="05B61135"/>
    <w:rsid w:val="065D6E83"/>
    <w:rsid w:val="0673011B"/>
    <w:rsid w:val="07237D8A"/>
    <w:rsid w:val="0A898258"/>
    <w:rsid w:val="0F9A61F1"/>
    <w:rsid w:val="0FA84589"/>
    <w:rsid w:val="10C156AF"/>
    <w:rsid w:val="110DA654"/>
    <w:rsid w:val="121C4E62"/>
    <w:rsid w:val="13A17F8D"/>
    <w:rsid w:val="141530A6"/>
    <w:rsid w:val="16962C36"/>
    <w:rsid w:val="175BF588"/>
    <w:rsid w:val="17E0EB38"/>
    <w:rsid w:val="18F99B77"/>
    <w:rsid w:val="1AA00E75"/>
    <w:rsid w:val="1AD67168"/>
    <w:rsid w:val="1AF80E8A"/>
    <w:rsid w:val="1CB6F39B"/>
    <w:rsid w:val="205285D3"/>
    <w:rsid w:val="22C2946D"/>
    <w:rsid w:val="23F0BB98"/>
    <w:rsid w:val="28FD1075"/>
    <w:rsid w:val="2A15AA04"/>
    <w:rsid w:val="2A4487C4"/>
    <w:rsid w:val="2AFB1C75"/>
    <w:rsid w:val="2D7C2886"/>
    <w:rsid w:val="2EDCE7BC"/>
    <w:rsid w:val="3084EB88"/>
    <w:rsid w:val="30FD4FF8"/>
    <w:rsid w:val="33C7562D"/>
    <w:rsid w:val="3E756441"/>
    <w:rsid w:val="40B9397A"/>
    <w:rsid w:val="40D9FB9D"/>
    <w:rsid w:val="41351961"/>
    <w:rsid w:val="41C57287"/>
    <w:rsid w:val="43AD77DF"/>
    <w:rsid w:val="44097B5A"/>
    <w:rsid w:val="4497EFFA"/>
    <w:rsid w:val="461F4F4F"/>
    <w:rsid w:val="464E251B"/>
    <w:rsid w:val="478AA2CC"/>
    <w:rsid w:val="4858CC5E"/>
    <w:rsid w:val="4AFBED1A"/>
    <w:rsid w:val="4B06FB39"/>
    <w:rsid w:val="4B1C8C2E"/>
    <w:rsid w:val="4B901BC0"/>
    <w:rsid w:val="4C590F4E"/>
    <w:rsid w:val="4CF9E1E5"/>
    <w:rsid w:val="4D60CE03"/>
    <w:rsid w:val="4DDBF111"/>
    <w:rsid w:val="4FD6D4F4"/>
    <w:rsid w:val="515BB6E7"/>
    <w:rsid w:val="52AE6E65"/>
    <w:rsid w:val="530E75B6"/>
    <w:rsid w:val="53330C76"/>
    <w:rsid w:val="550493AA"/>
    <w:rsid w:val="554643AD"/>
    <w:rsid w:val="56D85769"/>
    <w:rsid w:val="5769A0FE"/>
    <w:rsid w:val="57CC55E4"/>
    <w:rsid w:val="595D07F4"/>
    <w:rsid w:val="5AA141C0"/>
    <w:rsid w:val="5C3D1221"/>
    <w:rsid w:val="5D9CE784"/>
    <w:rsid w:val="5E1C66A0"/>
    <w:rsid w:val="617D3774"/>
    <w:rsid w:val="63AEE691"/>
    <w:rsid w:val="63FD10F0"/>
    <w:rsid w:val="685C5BA5"/>
    <w:rsid w:val="6895F26A"/>
    <w:rsid w:val="69B45D1A"/>
    <w:rsid w:val="6A21F7C2"/>
    <w:rsid w:val="6B34A393"/>
    <w:rsid w:val="6B5E80E1"/>
    <w:rsid w:val="6BA6CAD5"/>
    <w:rsid w:val="6C4161A9"/>
    <w:rsid w:val="6F5B9D33"/>
    <w:rsid w:val="6F73AF15"/>
    <w:rsid w:val="6FDDE453"/>
    <w:rsid w:val="6FF6EBC1"/>
    <w:rsid w:val="709A4A40"/>
    <w:rsid w:val="7182AD97"/>
    <w:rsid w:val="7229AFA8"/>
    <w:rsid w:val="7371D133"/>
    <w:rsid w:val="73C58009"/>
    <w:rsid w:val="7558E372"/>
    <w:rsid w:val="75A566BB"/>
    <w:rsid w:val="766F3449"/>
    <w:rsid w:val="7B722B70"/>
    <w:rsid w:val="7BD0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623C2"/>
  <w15:chartTrackingRefBased/>
  <w15:docId w15:val="{EE2BF38B-1C64-473F-80CF-8D0A3D02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9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39DE"/>
    <w:rPr>
      <w:color w:val="5A1FAC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0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E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1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46"/>
  </w:style>
  <w:style w:type="paragraph" w:styleId="Footer">
    <w:name w:val="footer"/>
    <w:basedOn w:val="Normal"/>
    <w:link w:val="FooterChar"/>
    <w:uiPriority w:val="99"/>
    <w:unhideWhenUsed/>
    <w:rsid w:val="00564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46"/>
  </w:style>
  <w:style w:type="character" w:styleId="UnresolvedMention">
    <w:name w:val="Unresolved Mention"/>
    <w:basedOn w:val="DefaultParagraphFont"/>
    <w:uiPriority w:val="99"/>
    <w:semiHidden/>
    <w:unhideWhenUsed/>
    <w:rsid w:val="00CA12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92A29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062A3"/>
    <w:rPr>
      <w:color w:val="C198E0" w:themeColor="followedHyperlink"/>
      <w:u w:val="single"/>
    </w:rPr>
  </w:style>
  <w:style w:type="paragraph" w:customStyle="1" w:styleId="paragraph">
    <w:name w:val="paragraph"/>
    <w:basedOn w:val="Normal"/>
    <w:rsid w:val="009D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578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SP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A1FAC"/>
      </a:accent1>
      <a:accent2>
        <a:srgbClr val="F25F4D"/>
      </a:accent2>
      <a:accent3>
        <a:srgbClr val="A5A5A5"/>
      </a:accent3>
      <a:accent4>
        <a:srgbClr val="FF0000"/>
      </a:accent4>
      <a:accent5>
        <a:srgbClr val="00B050"/>
      </a:accent5>
      <a:accent6>
        <a:srgbClr val="0070C0"/>
      </a:accent6>
      <a:hlink>
        <a:srgbClr val="5A1FAC"/>
      </a:hlink>
      <a:folHlink>
        <a:srgbClr val="C198E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  <SharedWithUsers xmlns="f99b252e-3e75-48ca-ba53-9d771ae125f4">
      <UserInfo>
        <DisplayName/>
        <AccountId xsi:nil="true"/>
        <AccountType/>
      </UserInfo>
    </SharedWithUsers>
    <MediaLengthInSeconds xmlns="a05e0708-8021-447a-b406-39ce3f2b19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9" ma:contentTypeDescription="Create a new document." ma:contentTypeScope="" ma:versionID="7c969e5f3e4485f9af1945121b2d220b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dcaa34831b564140720c17823220bb1a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2F416-7140-4B99-B3CA-202364390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984EB-CF23-419D-BAC2-D1CA10721306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customXml/itemProps3.xml><?xml version="1.0" encoding="utf-8"?>
<ds:datastoreItem xmlns:ds="http://schemas.openxmlformats.org/officeDocument/2006/customXml" ds:itemID="{175D151B-E8B6-4459-8826-19AE21907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0708-8021-447a-b406-39ce3f2b19a6"/>
    <ds:schemaRef ds:uri="f99b252e-3e75-48ca-ba53-9d771ae1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1321</Words>
  <Characters>7122</Characters>
  <Application>Microsoft Office Word</Application>
  <DocSecurity>0</DocSecurity>
  <Lines>323</Lines>
  <Paragraphs>186</Paragraphs>
  <ScaleCrop>false</ScaleCrop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Hockham</dc:creator>
  <cp:keywords/>
  <dc:description/>
  <cp:lastModifiedBy>Lavonne McCormack</cp:lastModifiedBy>
  <cp:revision>4</cp:revision>
  <dcterms:created xsi:type="dcterms:W3CDTF">2026-03-19T13:43:00Z</dcterms:created>
  <dcterms:modified xsi:type="dcterms:W3CDTF">2026-04-13T16:26:00Z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MediaServiceImageTags">
    <vt:lpwstr/>
  </property>
  <property fmtid="{D5CDD505-2E9C-101B-9397-08002B2CF9AE}" pid="4" name="Order">
    <vt:r8>9296500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